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43E7" w14:textId="651BDFBA" w:rsidR="009552C3" w:rsidRDefault="009552C3" w:rsidP="009552C3">
      <w:pPr>
        <w:spacing w:after="0" w:line="360" w:lineRule="exact"/>
        <w:rPr>
          <w:rFonts w:ascii="Times New Roman" w:eastAsia="Times New Roman" w:hAnsi="Times New Roman" w:cs="Tahoma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Załącznik n</w:t>
      </w:r>
      <w:r w:rsidR="007116E7"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 xml:space="preserve"> 1 </w:t>
      </w:r>
      <w:r w:rsidR="00AB16B3"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do zapytania ofertowego</w:t>
      </w:r>
    </w:p>
    <w:p w14:paraId="7F3BCDB4" w14:textId="77777777" w:rsidR="009552C3" w:rsidRDefault="009552C3" w:rsidP="009552C3">
      <w:pPr>
        <w:spacing w:after="0" w:line="360" w:lineRule="exact"/>
        <w:jc w:val="center"/>
        <w:rPr>
          <w:rFonts w:ascii="Times New Roman" w:eastAsia="Times New Roman" w:hAnsi="Times New Roman" w:cs="Tahoma"/>
          <w:b/>
          <w:sz w:val="26"/>
          <w:szCs w:val="26"/>
          <w:lang w:eastAsia="pl-PL"/>
        </w:rPr>
      </w:pPr>
    </w:p>
    <w:p w14:paraId="3336FEED" w14:textId="4910438B" w:rsidR="003D26DE" w:rsidRDefault="00342A17" w:rsidP="009552C3">
      <w:pPr>
        <w:spacing w:after="0" w:line="360" w:lineRule="exact"/>
        <w:jc w:val="center"/>
        <w:rPr>
          <w:rFonts w:ascii="Times New Roman" w:eastAsia="Times New Roman" w:hAnsi="Times New Roman" w:cs="Tahoma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Opis Przedmiotu Zamówienia</w:t>
      </w:r>
    </w:p>
    <w:p w14:paraId="0FFBFF0B" w14:textId="517410C7" w:rsidR="00602D1E" w:rsidRDefault="00602D1E" w:rsidP="009552C3">
      <w:pPr>
        <w:spacing w:after="0" w:line="360" w:lineRule="exact"/>
        <w:jc w:val="center"/>
        <w:rPr>
          <w:rFonts w:ascii="Times New Roman" w:eastAsia="Times New Roman" w:hAnsi="Times New Roman" w:cs="Tahoma"/>
          <w:b/>
          <w:sz w:val="26"/>
          <w:szCs w:val="26"/>
          <w:lang w:eastAsia="pl-PL"/>
        </w:rPr>
      </w:pPr>
    </w:p>
    <w:p w14:paraId="6BC1C21D" w14:textId="2A471D6B" w:rsidR="00342A17" w:rsidRDefault="00C53CCE" w:rsidP="009552C3">
      <w:pPr>
        <w:spacing w:after="0" w:line="360" w:lineRule="exact"/>
        <w:jc w:val="center"/>
        <w:rPr>
          <w:rFonts w:ascii="Times New Roman" w:eastAsia="Times New Roman" w:hAnsi="Times New Roman" w:cs="Tahoma"/>
          <w:b/>
          <w:sz w:val="26"/>
          <w:szCs w:val="26"/>
          <w:lang w:eastAsia="pl-PL"/>
        </w:rPr>
      </w:pPr>
      <w:r w:rsidRPr="00C53CCE"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Badanie jakościowe dotyczące tematu równego traktowania ze względu na płeć w</w:t>
      </w:r>
      <w:r w:rsidR="002239A4"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 </w:t>
      </w:r>
      <w:r w:rsidRPr="00C53CCE"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postępowaniach sądowych o opiekę nad dzieckiem</w:t>
      </w:r>
    </w:p>
    <w:p w14:paraId="7CA3618A" w14:textId="77777777" w:rsidR="00C53CCE" w:rsidRPr="00602D1E" w:rsidRDefault="00C53CCE" w:rsidP="009552C3">
      <w:pPr>
        <w:spacing w:after="0" w:line="360" w:lineRule="exact"/>
        <w:jc w:val="center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4831D3DC" w14:textId="4B1F7B4C" w:rsidR="00D87BA6" w:rsidRPr="00602D1E" w:rsidRDefault="00D87BA6" w:rsidP="00D87BA6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 w:rsidRPr="00602D1E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Przedmiotem zamówienia jest przeprowadzenie</w:t>
      </w:r>
      <w:r w:rsidR="00602D1E" w:rsidRPr="00602D1E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 wywiadów jakościowych wśród uczestników postępowań sądowych o przyznanie opieki nad dzieckiem, ze szczególnym uwzględnieniem sędziów, pełnomocników, matek i ojców dzieci</w:t>
      </w:r>
      <w:r w:rsidR="00C53CCE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, których dotyczy postępowanie.</w:t>
      </w:r>
    </w:p>
    <w:p w14:paraId="12C1BBDA" w14:textId="77777777" w:rsidR="00AD4D60" w:rsidRPr="00D87BA6" w:rsidRDefault="00AD4D60" w:rsidP="00D87BA6">
      <w:pPr>
        <w:spacing w:after="0" w:line="360" w:lineRule="exact"/>
        <w:jc w:val="both"/>
        <w:rPr>
          <w:rFonts w:ascii="Times New Roman" w:eastAsia="Times New Roman" w:hAnsi="Times New Roman" w:cs="Tahoma"/>
          <w:b/>
          <w:sz w:val="26"/>
          <w:szCs w:val="26"/>
          <w:lang w:eastAsia="pl-PL"/>
        </w:rPr>
      </w:pPr>
    </w:p>
    <w:p w14:paraId="34DFB4A9" w14:textId="11C9E662" w:rsidR="003B55A8" w:rsidRDefault="003B55A8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Ogólnym celem badawczym projektu jest określenie postaw, wiedzy i potrzeb uczestników postępowań sądowych w sprawach o przyznanie opieki nad dzieckiem w kontekście równouprawnienia matek i ojców dzieci, których dotyczy postępowanie. </w:t>
      </w:r>
    </w:p>
    <w:p w14:paraId="1A4F1D6C" w14:textId="77777777" w:rsidR="003B55A8" w:rsidRDefault="003B55A8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27375672" w14:textId="6E6AEF44" w:rsidR="003B55A8" w:rsidRDefault="003B55A8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Dobór próby powinien mieć charakter zróżnicowany pod względem wielkości miejsca zamieszkania, płci respondentów, ewentualnie wieku</w:t>
      </w:r>
      <w:r w:rsidR="00E3381E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 i</w:t>
      </w: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 statusu społeczno-ekonomicznego</w:t>
      </w:r>
      <w:r w:rsidR="00C53CCE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, najlepiej także w odniesieniu do typu sprawy tzn. prowadzonej przed sądem rodzinnym lub sądem cywilnym</w:t>
      </w:r>
      <w:r w:rsidR="005461F5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. W miarę możliwości z zaznaczeniem typu spraw wg załącznika 2 do Opisu Przedmiotu Zamówienia. </w:t>
      </w:r>
    </w:p>
    <w:p w14:paraId="0195339B" w14:textId="53E97CA7" w:rsidR="003B55A8" w:rsidRDefault="003B55A8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3F5FE71D" w14:textId="7DB019D5" w:rsidR="003B55A8" w:rsidRDefault="003B55A8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Respondenci powinni być również dobrani pod względem osobistego doświadczenia w</w:t>
      </w:r>
      <w:r w:rsidR="00E3381E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badanym obszarze. </w:t>
      </w:r>
    </w:p>
    <w:p w14:paraId="4490F044" w14:textId="186B8646" w:rsidR="003B55A8" w:rsidRDefault="003B55A8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700AE918" w14:textId="4E87C5D0" w:rsidR="003B55A8" w:rsidRDefault="003B55A8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Przewidywany rezultat tej części projektu powinien przyjąć formę raportu w formie opisowej przygotowanego na podstawie przeprowadzonych wywiadów, z</w:t>
      </w:r>
      <w:r w:rsidR="00E3381E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merytorycznym wyszczególnieniem </w:t>
      </w:r>
      <w:r w:rsidR="00EE692F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obszarów mających największe znaczenie w</w:t>
      </w:r>
      <w:r w:rsidR="00E3381E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 </w:t>
      </w:r>
      <w:r w:rsidR="00EE692F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omawianym temacie.</w:t>
      </w:r>
    </w:p>
    <w:p w14:paraId="6733A1A2" w14:textId="6677B5D5" w:rsidR="00EE692F" w:rsidRPr="007A570B" w:rsidRDefault="00EE692F" w:rsidP="007A570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Dla Zamawiającego istotne jest w szczególności</w:t>
      </w:r>
      <w:r w:rsidR="007A570B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 </w:t>
      </w:r>
      <w:r w:rsidRPr="007A570B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uchwycenie charakterystyki i</w:t>
      </w:r>
      <w:r w:rsidR="00E3381E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 </w:t>
      </w:r>
      <w:r w:rsidRPr="007A570B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mechanizmów </w:t>
      </w:r>
      <w:r w:rsidR="007A570B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ewentualnej dyskryminacji ze względu na płeć w</w:t>
      </w:r>
      <w:r w:rsidRPr="007A570B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 </w:t>
      </w:r>
      <w:r w:rsidR="007A570B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postępowaniach sądowych o przyznanie opieki nad dzieckiem</w:t>
      </w:r>
      <w:r w:rsidRPr="007A570B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.  </w:t>
      </w:r>
    </w:p>
    <w:p w14:paraId="33F6B895" w14:textId="1B13F3B0" w:rsidR="003B55A8" w:rsidRDefault="003B55A8" w:rsidP="00360FEB">
      <w:pPr>
        <w:pBdr>
          <w:bottom w:val="single" w:sz="6" w:space="1" w:color="auto"/>
        </w:pBd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732D16CD" w14:textId="77777777" w:rsidR="00EE692F" w:rsidRDefault="00EE692F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68E6A7F7" w14:textId="77777777" w:rsidR="003B55A8" w:rsidRDefault="003B55A8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0DF46F07" w14:textId="3D3D0A74" w:rsidR="00360FEB" w:rsidRDefault="00360FEB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Wykonawca w swojej ofercie powinien wykazać się doświadczeniem w realizacji projektów podobnego rodzaju oraz adekwatnym przygotowaniem Zespołu do realizacji zadania. </w:t>
      </w:r>
    </w:p>
    <w:p w14:paraId="69C6E386" w14:textId="0E136E4A" w:rsidR="00360FEB" w:rsidRDefault="00360FEB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18C765C5" w14:textId="77777777" w:rsidR="00EE692F" w:rsidRDefault="00360FEB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lastRenderedPageBreak/>
        <w:t xml:space="preserve">Wykonawca powinien przedstawić </w:t>
      </w:r>
      <w:r w:rsidR="00EE692F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propozycję struktury badania jakościowego z wyszczególnieniem liczby wywiadów i dookreśleniem grupy respondentów, a także sposób dotarcia do nich. </w:t>
      </w:r>
    </w:p>
    <w:p w14:paraId="6B241A49" w14:textId="77777777" w:rsidR="00EE692F" w:rsidRDefault="00EE692F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Ponadto Wykonawca powinien przedstawić </w:t>
      </w:r>
      <w:r w:rsidR="00AD4D60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konspekt</w:t>
      </w: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 scenariusza wywiadu jakościowego </w:t>
      </w:r>
      <w:r w:rsidR="00AD4D60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i jego wariantów dla poszczególnych grup respondentów. </w:t>
      </w:r>
    </w:p>
    <w:p w14:paraId="28BB165C" w14:textId="77777777" w:rsidR="00EE692F" w:rsidRDefault="00EE692F" w:rsidP="00360FEB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21C10286" w14:textId="6E774BBC" w:rsidR="00342A17" w:rsidRDefault="009944BB" w:rsidP="00660D3A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Z</w:t>
      </w:r>
      <w:r w:rsidR="006770CD" w:rsidRPr="006770CD"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 xml:space="preserve">amawiający szacuje koszt zlecenia na </w:t>
      </w:r>
      <w:r w:rsidR="007A570B"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59</w:t>
      </w:r>
      <w:r w:rsidR="00360FEB"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 xml:space="preserve"> </w:t>
      </w:r>
      <w:r w:rsidR="006770CD" w:rsidRPr="00A77203"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tys. zł</w:t>
      </w:r>
      <w:r w:rsidR="006770CD" w:rsidRPr="009944BB"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 xml:space="preserve"> brutto</w:t>
      </w:r>
      <w:r w:rsidR="006770CD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. </w:t>
      </w:r>
    </w:p>
    <w:p w14:paraId="1DCC4E79" w14:textId="0381A460" w:rsidR="00F0187A" w:rsidRDefault="009552C3" w:rsidP="009552C3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Termin</w:t>
      </w:r>
      <w:r w:rsidR="00BE17A3"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 xml:space="preserve"> realizacji badania</w:t>
      </w:r>
      <w:r>
        <w:rPr>
          <w:rFonts w:ascii="Times New Roman" w:eastAsia="Times New Roman" w:hAnsi="Times New Roman" w:cs="Tahoma"/>
          <w:b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 </w:t>
      </w:r>
      <w:r w:rsidR="005461F5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>11</w:t>
      </w:r>
      <w:r w:rsidR="007A570B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 grudnia</w:t>
      </w: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 2020 r. </w:t>
      </w:r>
    </w:p>
    <w:p w14:paraId="25759906" w14:textId="2B7C516C" w:rsidR="00C53CCE" w:rsidRDefault="00C53CCE" w:rsidP="009552C3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5B4C78B2" w14:textId="6E810BFA" w:rsidR="00C53CCE" w:rsidRDefault="00C53CCE">
      <w:pPr>
        <w:spacing w:after="0" w:line="240" w:lineRule="auto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br w:type="page"/>
      </w:r>
    </w:p>
    <w:p w14:paraId="081957B0" w14:textId="77777777" w:rsidR="00C53CCE" w:rsidRDefault="00C53CCE" w:rsidP="009552C3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5176AEBA" w14:textId="77777777" w:rsidR="00C53CCE" w:rsidRDefault="00C53CCE" w:rsidP="009552C3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Załączniki 1. </w:t>
      </w:r>
    </w:p>
    <w:p w14:paraId="691FCB20" w14:textId="7024DE72" w:rsidR="00C53CCE" w:rsidRDefault="00C53CCE" w:rsidP="009552C3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Jako punkt odniesienia przedstawiamy poniżej pytania do projektowanego na przyszłość badania akt sądowych w tego rodzaju sprawach. </w:t>
      </w:r>
    </w:p>
    <w:p w14:paraId="5117888C" w14:textId="77777777" w:rsidR="00DC7EA3" w:rsidRDefault="00DC7EA3" w:rsidP="009552C3">
      <w:pPr>
        <w:spacing w:after="0" w:line="360" w:lineRule="exact"/>
        <w:jc w:val="both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</w:p>
    <w:p w14:paraId="223E7B89" w14:textId="77777777" w:rsidR="00AB16B3" w:rsidRPr="005461F5" w:rsidRDefault="00AB16B3" w:rsidP="00AB16B3">
      <w:pPr>
        <w:pStyle w:val="Nagwek1"/>
        <w:rPr>
          <w:b/>
          <w:bCs/>
          <w:sz w:val="24"/>
          <w:szCs w:val="24"/>
        </w:rPr>
      </w:pPr>
      <w:r w:rsidRPr="005461F5">
        <w:rPr>
          <w:b/>
          <w:bCs/>
          <w:sz w:val="24"/>
          <w:szCs w:val="24"/>
        </w:rPr>
        <w:t>Pytania  - badanie akt sądowych – rodzice w postępowaniach sądowych</w:t>
      </w:r>
    </w:p>
    <w:p w14:paraId="30E1A0DE" w14:textId="77777777" w:rsidR="00AB16B3" w:rsidRPr="007A6312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Czy orzeczenie zapadło w ramach sprawy o rozwód/separację?</w:t>
      </w:r>
    </w:p>
    <w:p w14:paraId="5AE52529" w14:textId="77777777" w:rsidR="00AB16B3" w:rsidRPr="007A6312" w:rsidRDefault="00AB16B3" w:rsidP="00AB16B3">
      <w:pPr>
        <w:pStyle w:val="Akapitzlist"/>
        <w:spacing w:after="120"/>
        <w:ind w:left="717"/>
        <w:contextualSpacing w:val="0"/>
        <w:rPr>
          <w:sz w:val="24"/>
          <w:szCs w:val="24"/>
        </w:rPr>
      </w:pPr>
      <w:r w:rsidRPr="007A6312">
        <w:rPr>
          <w:sz w:val="24"/>
          <w:szCs w:val="24"/>
        </w:rPr>
        <w:t>TAK/NIE</w:t>
      </w:r>
    </w:p>
    <w:p w14:paraId="23CF7ECC" w14:textId="77777777" w:rsidR="00AB16B3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Jakiej płci był sędzia orzekający w sprawie?</w:t>
      </w:r>
    </w:p>
    <w:p w14:paraId="6A4016F9" w14:textId="77777777" w:rsidR="00AB16B3" w:rsidRPr="004C1025" w:rsidRDefault="00AB16B3" w:rsidP="00AB16B3">
      <w:pPr>
        <w:pStyle w:val="Akapitzlist"/>
        <w:spacing w:after="120"/>
        <w:contextualSpacing w:val="0"/>
        <w:rPr>
          <w:sz w:val="24"/>
          <w:szCs w:val="24"/>
        </w:rPr>
      </w:pPr>
      <w:r w:rsidRPr="007A6312">
        <w:rPr>
          <w:sz w:val="24"/>
          <w:szCs w:val="24"/>
        </w:rPr>
        <w:t>KOBIETA/MĘŻCZYZNA</w:t>
      </w:r>
    </w:p>
    <w:p w14:paraId="37BE3782" w14:textId="77777777" w:rsidR="00AB16B3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Czy w sprawie rodzica reprezentował profesjonalny pełnomocnik?</w:t>
      </w:r>
    </w:p>
    <w:p w14:paraId="17644308" w14:textId="77777777" w:rsidR="00AB16B3" w:rsidRDefault="00AB16B3" w:rsidP="00AB16B3">
      <w:pPr>
        <w:pStyle w:val="Akapitzlist"/>
        <w:numPr>
          <w:ilvl w:val="0"/>
          <w:numId w:val="24"/>
        </w:numPr>
        <w:spacing w:after="120" w:line="259" w:lineRule="auto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-nie</w:t>
      </w:r>
    </w:p>
    <w:p w14:paraId="7C6C4459" w14:textId="77777777" w:rsidR="00AB16B3" w:rsidRDefault="00AB16B3" w:rsidP="00AB16B3">
      <w:pPr>
        <w:pStyle w:val="Akapitzlist"/>
        <w:numPr>
          <w:ilvl w:val="0"/>
          <w:numId w:val="24"/>
        </w:numPr>
        <w:spacing w:after="120" w:line="259" w:lineRule="auto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oboje rodziców</w:t>
      </w:r>
    </w:p>
    <w:p w14:paraId="6086FE3F" w14:textId="77777777" w:rsidR="00AB16B3" w:rsidRDefault="00AB16B3" w:rsidP="00AB16B3">
      <w:pPr>
        <w:pStyle w:val="Akapitzlist"/>
        <w:numPr>
          <w:ilvl w:val="0"/>
          <w:numId w:val="24"/>
        </w:numPr>
        <w:spacing w:after="120" w:line="259" w:lineRule="auto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tylko matkę</w:t>
      </w:r>
    </w:p>
    <w:p w14:paraId="35D490BA" w14:textId="77777777" w:rsidR="00AB16B3" w:rsidRPr="000A5541" w:rsidRDefault="00AB16B3" w:rsidP="00AB16B3">
      <w:pPr>
        <w:pStyle w:val="Akapitzlist"/>
        <w:numPr>
          <w:ilvl w:val="0"/>
          <w:numId w:val="24"/>
        </w:numPr>
        <w:spacing w:after="120" w:line="259" w:lineRule="auto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tylko ojca</w:t>
      </w:r>
    </w:p>
    <w:p w14:paraId="36C1013E" w14:textId="77777777" w:rsidR="00AB16B3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Czy w sprawie prowadzona była mediacja?</w:t>
      </w:r>
    </w:p>
    <w:p w14:paraId="255980EA" w14:textId="77777777" w:rsidR="00AB16B3" w:rsidRDefault="00AB16B3" w:rsidP="00AB16B3">
      <w:pPr>
        <w:pStyle w:val="Akapitzlist"/>
        <w:spacing w:after="120"/>
        <w:ind w:left="717"/>
        <w:contextualSpacing w:val="0"/>
        <w:rPr>
          <w:sz w:val="24"/>
          <w:szCs w:val="24"/>
        </w:rPr>
      </w:pPr>
      <w:r>
        <w:rPr>
          <w:sz w:val="24"/>
          <w:szCs w:val="24"/>
        </w:rPr>
        <w:t>TAK/NIE</w:t>
      </w:r>
    </w:p>
    <w:p w14:paraId="75B35F3B" w14:textId="77777777" w:rsidR="00AB16B3" w:rsidRPr="007A6312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Czy rodzice złożyli wspólny wniosek?</w:t>
      </w:r>
    </w:p>
    <w:p w14:paraId="7D594C8C" w14:textId="77777777" w:rsidR="00AB16B3" w:rsidRPr="007A6312" w:rsidRDefault="00AB16B3" w:rsidP="00AB16B3">
      <w:pPr>
        <w:pStyle w:val="Akapitzlist"/>
        <w:spacing w:after="120"/>
        <w:ind w:left="717"/>
        <w:contextualSpacing w:val="0"/>
        <w:rPr>
          <w:sz w:val="24"/>
          <w:szCs w:val="24"/>
        </w:rPr>
      </w:pPr>
      <w:r w:rsidRPr="007A6312">
        <w:rPr>
          <w:sz w:val="24"/>
          <w:szCs w:val="24"/>
        </w:rPr>
        <w:t>TAK/NIE</w:t>
      </w:r>
    </w:p>
    <w:p w14:paraId="65DA8946" w14:textId="77777777" w:rsidR="00AB16B3" w:rsidRPr="007A6312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 xml:space="preserve">Jeśli </w:t>
      </w:r>
      <w:r>
        <w:rPr>
          <w:sz w:val="24"/>
          <w:szCs w:val="24"/>
        </w:rPr>
        <w:t>TAK</w:t>
      </w:r>
      <w:r w:rsidRPr="007A6312">
        <w:rPr>
          <w:sz w:val="24"/>
          <w:szCs w:val="24"/>
        </w:rPr>
        <w:t>, czy sąd przychylił się do wniosku rodziców? Jakiej treści był ten wniosek?</w:t>
      </w:r>
    </w:p>
    <w:p w14:paraId="0BD12A5C" w14:textId="77777777" w:rsidR="00AB16B3" w:rsidRPr="007A6312" w:rsidRDefault="00AB16B3" w:rsidP="00AB16B3">
      <w:pPr>
        <w:pStyle w:val="Akapitzlist"/>
        <w:spacing w:after="120"/>
        <w:ind w:left="717"/>
        <w:contextualSpacing w:val="0"/>
        <w:rPr>
          <w:sz w:val="24"/>
          <w:szCs w:val="24"/>
        </w:rPr>
      </w:pPr>
      <w:r w:rsidRPr="007A6312">
        <w:rPr>
          <w:sz w:val="24"/>
          <w:szCs w:val="24"/>
        </w:rPr>
        <w:t>TAK/NIE</w:t>
      </w:r>
    </w:p>
    <w:p w14:paraId="7252BC6C" w14:textId="77777777" w:rsidR="00AB16B3" w:rsidRPr="007A6312" w:rsidRDefault="00AB16B3" w:rsidP="00AB16B3">
      <w:pPr>
        <w:pStyle w:val="Akapitzlist"/>
        <w:spacing w:after="120"/>
        <w:ind w:left="717"/>
        <w:contextualSpacing w:val="0"/>
        <w:rPr>
          <w:sz w:val="24"/>
          <w:szCs w:val="24"/>
        </w:rPr>
      </w:pPr>
      <w:r w:rsidRPr="007A6312">
        <w:rPr>
          <w:sz w:val="24"/>
          <w:szCs w:val="24"/>
        </w:rPr>
        <w:t xml:space="preserve">- jeśli </w:t>
      </w:r>
      <w:r>
        <w:rPr>
          <w:sz w:val="24"/>
          <w:szCs w:val="24"/>
        </w:rPr>
        <w:t>NIE</w:t>
      </w:r>
      <w:r w:rsidRPr="007A6312">
        <w:rPr>
          <w:sz w:val="24"/>
          <w:szCs w:val="24"/>
        </w:rPr>
        <w:t>, dlaczego się nie przychylił:</w:t>
      </w:r>
    </w:p>
    <w:p w14:paraId="6B13737E" w14:textId="77777777" w:rsidR="00AB16B3" w:rsidRPr="007A6312" w:rsidRDefault="00AB16B3" w:rsidP="00AB16B3">
      <w:pPr>
        <w:pStyle w:val="Akapitzlist"/>
        <w:numPr>
          <w:ilvl w:val="0"/>
          <w:numId w:val="20"/>
        </w:numPr>
        <w:spacing w:after="120" w:line="259" w:lineRule="auto"/>
        <w:ind w:left="143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ocenił, że porozumienie rodziców nie jest zgodne z dobrem dziecka – dlaczego (powody/co wziął pod uwagę/na podstawie jakich kryteriów to ocenił)?</w:t>
      </w:r>
    </w:p>
    <w:p w14:paraId="64429724" w14:textId="77777777" w:rsidR="00AB16B3" w:rsidRPr="007A6312" w:rsidRDefault="00AB16B3" w:rsidP="00AB16B3">
      <w:pPr>
        <w:pStyle w:val="Akapitzlist"/>
        <w:numPr>
          <w:ilvl w:val="0"/>
          <w:numId w:val="20"/>
        </w:numPr>
        <w:spacing w:after="120" w:line="259" w:lineRule="auto"/>
        <w:ind w:left="143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inne</w:t>
      </w:r>
    </w:p>
    <w:p w14:paraId="69AD2F58" w14:textId="77777777" w:rsidR="00AB16B3" w:rsidRPr="007A6312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Jeśli rodzice nie złożyli wspólnego wniosku, jakiej treści wnioski składali -&gt; pyt. 11?</w:t>
      </w:r>
    </w:p>
    <w:p w14:paraId="33FE390F" w14:textId="77777777" w:rsidR="00AB16B3" w:rsidRPr="007A6312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Czy w sprawie biegły sporządził opinię?</w:t>
      </w:r>
    </w:p>
    <w:p w14:paraId="3ADFB21E" w14:textId="77777777" w:rsidR="00AB16B3" w:rsidRPr="007A6312" w:rsidRDefault="00AB16B3" w:rsidP="00AB16B3">
      <w:pPr>
        <w:pStyle w:val="Akapitzlist"/>
        <w:spacing w:after="120"/>
        <w:ind w:left="717"/>
        <w:contextualSpacing w:val="0"/>
        <w:rPr>
          <w:sz w:val="24"/>
          <w:szCs w:val="24"/>
        </w:rPr>
      </w:pPr>
      <w:r w:rsidRPr="007A6312">
        <w:rPr>
          <w:sz w:val="24"/>
          <w:szCs w:val="24"/>
        </w:rPr>
        <w:t>TAK/NIE</w:t>
      </w:r>
    </w:p>
    <w:p w14:paraId="32C0EF2F" w14:textId="77777777" w:rsidR="00AB16B3" w:rsidRPr="007A6312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Czy sąd orzekł zgodnie z opinią biegłego?</w:t>
      </w:r>
    </w:p>
    <w:p w14:paraId="2EA4A016" w14:textId="77777777" w:rsidR="00AB16B3" w:rsidRPr="007A6312" w:rsidRDefault="00AB16B3" w:rsidP="00AB16B3">
      <w:pPr>
        <w:pStyle w:val="Akapitzlist"/>
        <w:spacing w:after="120"/>
        <w:ind w:left="717"/>
        <w:contextualSpacing w:val="0"/>
        <w:rPr>
          <w:sz w:val="24"/>
          <w:szCs w:val="24"/>
        </w:rPr>
      </w:pPr>
      <w:r w:rsidRPr="007A6312">
        <w:rPr>
          <w:sz w:val="24"/>
          <w:szCs w:val="24"/>
        </w:rPr>
        <w:t>TAK/NIE</w:t>
      </w:r>
    </w:p>
    <w:p w14:paraId="7C9E46CD" w14:textId="77777777" w:rsidR="00AB16B3" w:rsidRPr="007A6312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Jeśli NIE, dlaczego sąd orzekł odmiennie niż w opinii</w:t>
      </w:r>
      <w:r>
        <w:rPr>
          <w:sz w:val="24"/>
          <w:szCs w:val="24"/>
        </w:rPr>
        <w:t xml:space="preserve"> biegłego</w:t>
      </w:r>
      <w:r w:rsidRPr="007A6312">
        <w:rPr>
          <w:sz w:val="24"/>
          <w:szCs w:val="24"/>
        </w:rPr>
        <w:t>?</w:t>
      </w:r>
    </w:p>
    <w:p w14:paraId="5F0F2C5E" w14:textId="77777777" w:rsidR="00AB16B3" w:rsidRPr="007A6312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Czy rozdzielono rodzeństwo?</w:t>
      </w:r>
    </w:p>
    <w:p w14:paraId="642602C4" w14:textId="77777777" w:rsidR="00AB16B3" w:rsidRPr="007A6312" w:rsidRDefault="00AB16B3" w:rsidP="00AB16B3">
      <w:pPr>
        <w:pStyle w:val="Akapitzlist"/>
        <w:spacing w:after="120"/>
        <w:ind w:left="717"/>
        <w:contextualSpacing w:val="0"/>
        <w:rPr>
          <w:sz w:val="24"/>
          <w:szCs w:val="24"/>
        </w:rPr>
      </w:pPr>
      <w:r w:rsidRPr="007A6312">
        <w:rPr>
          <w:sz w:val="24"/>
          <w:szCs w:val="24"/>
        </w:rPr>
        <w:t>TAK/NIE</w:t>
      </w:r>
    </w:p>
    <w:p w14:paraId="2144F345" w14:textId="77777777" w:rsidR="00AB16B3" w:rsidRPr="007A6312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lastRenderedPageBreak/>
        <w:t>Jeśli TAK, dlaczego rozdzielono rodzeństwo?</w:t>
      </w:r>
    </w:p>
    <w:p w14:paraId="6D355E47" w14:textId="77777777" w:rsidR="00AB16B3" w:rsidRPr="007A6312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Co zrobił sąd i dlaczego?</w:t>
      </w:r>
    </w:p>
    <w:p w14:paraId="336EBD2F" w14:textId="77777777" w:rsidR="00AB16B3" w:rsidRPr="007A6312" w:rsidRDefault="00AB16B3" w:rsidP="00AB16B3">
      <w:pPr>
        <w:pStyle w:val="Akapitzlist"/>
        <w:numPr>
          <w:ilvl w:val="0"/>
          <w:numId w:val="21"/>
        </w:numPr>
        <w:spacing w:after="120" w:line="259" w:lineRule="auto"/>
        <w:ind w:left="107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powierzył wykonywanie władzy rodzicielskiej obojgu rodzicom</w:t>
      </w:r>
    </w:p>
    <w:p w14:paraId="3A5C836D" w14:textId="77777777" w:rsidR="00AB16B3" w:rsidRPr="007A6312" w:rsidRDefault="00AB16B3" w:rsidP="00AB16B3">
      <w:pPr>
        <w:pStyle w:val="Akapitzlist"/>
        <w:numPr>
          <w:ilvl w:val="0"/>
          <w:numId w:val="21"/>
        </w:numPr>
        <w:spacing w:after="120" w:line="259" w:lineRule="auto"/>
        <w:ind w:left="107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powierzył wykonywanie władzy rodzicielskiej jednemu z rodziców, ograniczając władzę rodzicielską drugiego z nich do określonych obowiązków i uprawnień w stosunku do dziecka (ważne któremu: czy ojcu, czy matce)</w:t>
      </w:r>
    </w:p>
    <w:p w14:paraId="0A2AADCA" w14:textId="77777777" w:rsidR="00AB16B3" w:rsidRPr="007A6312" w:rsidRDefault="00AB16B3" w:rsidP="00AB16B3">
      <w:pPr>
        <w:pStyle w:val="Akapitzlist"/>
        <w:numPr>
          <w:ilvl w:val="0"/>
          <w:numId w:val="21"/>
        </w:numPr>
        <w:spacing w:after="120" w:line="259" w:lineRule="auto"/>
        <w:ind w:left="107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pozbawił władzy rodzicielskiej matk</w:t>
      </w:r>
      <w:r>
        <w:rPr>
          <w:sz w:val="24"/>
          <w:szCs w:val="24"/>
        </w:rPr>
        <w:t>ę</w:t>
      </w:r>
    </w:p>
    <w:p w14:paraId="2259D2E9" w14:textId="77777777" w:rsidR="00AB16B3" w:rsidRPr="007A6312" w:rsidRDefault="00AB16B3" w:rsidP="00AB16B3">
      <w:pPr>
        <w:pStyle w:val="Akapitzlist"/>
        <w:numPr>
          <w:ilvl w:val="0"/>
          <w:numId w:val="21"/>
        </w:numPr>
        <w:spacing w:after="120" w:line="259" w:lineRule="auto"/>
        <w:ind w:left="107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pozbawił władzy rodzicielskiej ojca</w:t>
      </w:r>
    </w:p>
    <w:p w14:paraId="6AFCF4C8" w14:textId="77777777" w:rsidR="00AB16B3" w:rsidRPr="007A6312" w:rsidRDefault="00AB16B3" w:rsidP="00AB16B3">
      <w:pPr>
        <w:pStyle w:val="Akapitzlist"/>
        <w:numPr>
          <w:ilvl w:val="0"/>
          <w:numId w:val="21"/>
        </w:numPr>
        <w:spacing w:after="120" w:line="259" w:lineRule="auto"/>
        <w:ind w:left="107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zawiesił władzę rodzicielską matki</w:t>
      </w:r>
    </w:p>
    <w:p w14:paraId="05478915" w14:textId="77777777" w:rsidR="00AB16B3" w:rsidRDefault="00AB16B3" w:rsidP="00AB16B3">
      <w:pPr>
        <w:pStyle w:val="Akapitzlist"/>
        <w:numPr>
          <w:ilvl w:val="0"/>
          <w:numId w:val="21"/>
        </w:numPr>
        <w:spacing w:after="120" w:line="259" w:lineRule="auto"/>
        <w:ind w:left="107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zawiesił władzę rodzicielską ojca</w:t>
      </w:r>
    </w:p>
    <w:p w14:paraId="246297D0" w14:textId="77777777" w:rsidR="00AB16B3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W jaki sposób sąd ustalił kwestie miejsca zamieszkania dziecka:</w:t>
      </w:r>
    </w:p>
    <w:p w14:paraId="7566CE57" w14:textId="77777777" w:rsidR="00AB16B3" w:rsidRDefault="00AB16B3" w:rsidP="00AB16B3">
      <w:pPr>
        <w:pStyle w:val="Akapitzlist"/>
        <w:numPr>
          <w:ilvl w:val="0"/>
          <w:numId w:val="23"/>
        </w:numPr>
        <w:spacing w:after="120" w:line="259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- z matką</w:t>
      </w:r>
    </w:p>
    <w:p w14:paraId="0406E043" w14:textId="77777777" w:rsidR="00AB16B3" w:rsidRDefault="00AB16B3" w:rsidP="00AB16B3">
      <w:pPr>
        <w:pStyle w:val="Akapitzlist"/>
        <w:numPr>
          <w:ilvl w:val="0"/>
          <w:numId w:val="23"/>
        </w:numPr>
        <w:spacing w:after="120" w:line="259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- z ojcem</w:t>
      </w:r>
    </w:p>
    <w:p w14:paraId="16D6192C" w14:textId="77777777" w:rsidR="00AB16B3" w:rsidRPr="007A6312" w:rsidRDefault="00AB16B3" w:rsidP="00AB16B3">
      <w:pPr>
        <w:pStyle w:val="Akapitzlist"/>
        <w:numPr>
          <w:ilvl w:val="0"/>
          <w:numId w:val="23"/>
        </w:numPr>
        <w:spacing w:after="120" w:line="259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- tzw. opieka naprzemienna</w:t>
      </w:r>
    </w:p>
    <w:p w14:paraId="2E90749E" w14:textId="77777777" w:rsidR="00AB16B3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jaki sposób sąd rozstrzygnął o alimentach [tu nie mam pewności, jak określić propozycje do wyboru]? </w:t>
      </w:r>
    </w:p>
    <w:p w14:paraId="76D69DBF" w14:textId="77777777" w:rsidR="00AB16B3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Czy sąd wysłuchał dziecko (art. </w:t>
      </w:r>
      <w:r w:rsidRPr="00596BF6">
        <w:rPr>
          <w:sz w:val="24"/>
          <w:szCs w:val="24"/>
        </w:rPr>
        <w:t>576 § 2 KPC</w:t>
      </w:r>
      <w:r>
        <w:rPr>
          <w:sz w:val="24"/>
          <w:szCs w:val="24"/>
        </w:rPr>
        <w:t>)</w:t>
      </w:r>
    </w:p>
    <w:p w14:paraId="226EAC1D" w14:textId="77777777" w:rsidR="00AB16B3" w:rsidRPr="004C1025" w:rsidRDefault="00AB16B3" w:rsidP="00AB16B3">
      <w:pPr>
        <w:pStyle w:val="Akapitzlist"/>
        <w:spacing w:after="120"/>
        <w:ind w:left="717"/>
        <w:contextualSpacing w:val="0"/>
        <w:rPr>
          <w:sz w:val="24"/>
          <w:szCs w:val="24"/>
        </w:rPr>
      </w:pPr>
      <w:r>
        <w:rPr>
          <w:sz w:val="24"/>
          <w:szCs w:val="24"/>
        </w:rPr>
        <w:t>TAK/NIE</w:t>
      </w:r>
    </w:p>
    <w:p w14:paraId="0ACD949A" w14:textId="77777777" w:rsidR="00AB16B3" w:rsidRPr="007A6312" w:rsidRDefault="00AB16B3" w:rsidP="00AB16B3">
      <w:pPr>
        <w:pStyle w:val="Akapitzlist"/>
        <w:numPr>
          <w:ilvl w:val="0"/>
          <w:numId w:val="19"/>
        </w:numPr>
        <w:spacing w:after="120" w:line="259" w:lineRule="auto"/>
        <w:ind w:left="717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Elementy, które sąd wziął pod uwagę orzekając o władzy rodzicielskiej/kontaktach z dzieckiem</w:t>
      </w:r>
      <w:r>
        <w:rPr>
          <w:sz w:val="24"/>
          <w:szCs w:val="24"/>
        </w:rPr>
        <w:t>/miejscu zamieszkania dziecka:</w:t>
      </w:r>
    </w:p>
    <w:p w14:paraId="0BCA970A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związek emocjonalny dziecka z rodzicem/rodzicami</w:t>
      </w:r>
    </w:p>
    <w:p w14:paraId="76110BDC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wiek dziecka</w:t>
      </w:r>
    </w:p>
    <w:p w14:paraId="0700DDBA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zdolności wychowawcze rodziców</w:t>
      </w:r>
    </w:p>
    <w:p w14:paraId="4746E423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preferowanie rodzica, z którym dziecko mieszkało przed rozstrzygnięciem (akceptacja status quo)</w:t>
      </w:r>
    </w:p>
    <w:p w14:paraId="05AAFC11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wykształcenie rodziców</w:t>
      </w:r>
    </w:p>
    <w:p w14:paraId="0B94DA7E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wina jednego z rodziców w spowodowaniu rozpadu związku</w:t>
      </w:r>
    </w:p>
    <w:p w14:paraId="688EBDBB" w14:textId="77777777" w:rsidR="00AB16B3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konflikt pomiędzy rodzicami</w:t>
      </w:r>
    </w:p>
    <w:p w14:paraId="4711A459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zdolność i gotowość rodziców do współpracy ze sobą (dot. w szczególności opieki naprzemiennej)</w:t>
      </w:r>
    </w:p>
    <w:p w14:paraId="0ADAB603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odległość między miejscami pracy a szkołą/przedszkolem dziecka (dot. w szczególności opieki naprzemiennej)</w:t>
      </w:r>
    </w:p>
    <w:p w14:paraId="0385561A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ocena predyspozycji wychowawczych rodzica</w:t>
      </w:r>
    </w:p>
    <w:p w14:paraId="2D44E216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zdanie dziecka – czy sąd wysłuchał dzieck</w:t>
      </w:r>
      <w:r>
        <w:rPr>
          <w:sz w:val="24"/>
          <w:szCs w:val="24"/>
        </w:rPr>
        <w:t>o</w:t>
      </w:r>
      <w:r w:rsidRPr="007A6312">
        <w:rPr>
          <w:sz w:val="24"/>
          <w:szCs w:val="24"/>
        </w:rPr>
        <w:t xml:space="preserve"> (art. 576 § 2 KPC)</w:t>
      </w:r>
      <w:r>
        <w:rPr>
          <w:sz w:val="24"/>
          <w:szCs w:val="24"/>
        </w:rPr>
        <w:t xml:space="preserve"> -&gt; pyt. 16</w:t>
      </w:r>
    </w:p>
    <w:p w14:paraId="46A23A23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warunki materialne</w:t>
      </w:r>
      <w:r>
        <w:rPr>
          <w:sz w:val="24"/>
          <w:szCs w:val="24"/>
        </w:rPr>
        <w:t>, w tym praca/pozostawanie bez pracy</w:t>
      </w:r>
    </w:p>
    <w:p w14:paraId="589D29E1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lastRenderedPageBreak/>
        <w:t>przesłanka dyskryminacyjna (</w:t>
      </w:r>
      <w:r>
        <w:rPr>
          <w:sz w:val="24"/>
          <w:szCs w:val="24"/>
        </w:rPr>
        <w:t xml:space="preserve">do wychwycenia </w:t>
      </w:r>
      <w:r w:rsidRPr="007A6312">
        <w:rPr>
          <w:sz w:val="24"/>
          <w:szCs w:val="24"/>
        </w:rPr>
        <w:t>z uzasadnienia, opinii biegłego, przebiegu rozprawy): płeć, wiek, niepełnosprawność, tożsamość płciowa, orientacja seksualna, narodowość, pochodzenie etniczne, ubóstwo (?)</w:t>
      </w:r>
      <w:r>
        <w:rPr>
          <w:sz w:val="24"/>
          <w:szCs w:val="24"/>
        </w:rPr>
        <w:t>, inne</w:t>
      </w:r>
    </w:p>
    <w:p w14:paraId="205C7C6D" w14:textId="77777777" w:rsidR="00AB16B3" w:rsidRPr="007A6312" w:rsidRDefault="00AB16B3" w:rsidP="00AB16B3">
      <w:pPr>
        <w:pStyle w:val="Akapitzlist"/>
        <w:numPr>
          <w:ilvl w:val="0"/>
          <w:numId w:val="22"/>
        </w:numPr>
        <w:spacing w:after="120" w:line="259" w:lineRule="auto"/>
        <w:ind w:left="714"/>
        <w:contextualSpacing w:val="0"/>
        <w:jc w:val="both"/>
        <w:rPr>
          <w:sz w:val="24"/>
          <w:szCs w:val="24"/>
        </w:rPr>
      </w:pPr>
      <w:r w:rsidRPr="007A6312">
        <w:rPr>
          <w:sz w:val="24"/>
          <w:szCs w:val="24"/>
        </w:rPr>
        <w:t>inne</w:t>
      </w:r>
    </w:p>
    <w:p w14:paraId="77D92E8C" w14:textId="511A0463" w:rsidR="00AB16B3" w:rsidRDefault="00AB16B3" w:rsidP="00AB16B3">
      <w:pPr>
        <w:spacing w:after="120"/>
        <w:ind w:left="354"/>
        <w:rPr>
          <w:sz w:val="24"/>
          <w:szCs w:val="24"/>
        </w:rPr>
      </w:pPr>
      <w:r w:rsidRPr="007A6312">
        <w:rPr>
          <w:sz w:val="24"/>
          <w:szCs w:val="24"/>
        </w:rPr>
        <w:t xml:space="preserve">Sąd co do zasady zawsze powinien pozostawić władzę rodzicielską obojgu rodzicom, jeśli złożą </w:t>
      </w:r>
      <w:r w:rsidRPr="007A6312">
        <w:rPr>
          <w:sz w:val="24"/>
          <w:szCs w:val="24"/>
          <w:u w:val="single"/>
        </w:rPr>
        <w:t xml:space="preserve">pisemne </w:t>
      </w:r>
      <w:r w:rsidRPr="007A6312">
        <w:rPr>
          <w:sz w:val="24"/>
          <w:szCs w:val="24"/>
        </w:rPr>
        <w:t xml:space="preserve">porozumienie i jest to zgodne z dobrem dziecka. </w:t>
      </w:r>
    </w:p>
    <w:p w14:paraId="207042FA" w14:textId="77777777" w:rsidR="005461F5" w:rsidRDefault="005461F5" w:rsidP="00AB16B3">
      <w:pPr>
        <w:spacing w:after="120"/>
        <w:ind w:left="354"/>
        <w:rPr>
          <w:b/>
          <w:bCs/>
          <w:sz w:val="24"/>
          <w:szCs w:val="24"/>
        </w:rPr>
      </w:pPr>
    </w:p>
    <w:p w14:paraId="09BBA981" w14:textId="06F5D81B" w:rsidR="00C53CCE" w:rsidRDefault="00C53CCE" w:rsidP="00AB16B3">
      <w:pPr>
        <w:spacing w:after="120"/>
        <w:ind w:left="354"/>
        <w:rPr>
          <w:sz w:val="24"/>
          <w:szCs w:val="24"/>
        </w:rPr>
      </w:pPr>
      <w:r w:rsidRPr="005461F5">
        <w:rPr>
          <w:b/>
          <w:bCs/>
          <w:sz w:val="24"/>
          <w:szCs w:val="24"/>
        </w:rPr>
        <w:t>Załącznik 2</w:t>
      </w:r>
      <w:r w:rsidR="005461F5">
        <w:rPr>
          <w:sz w:val="24"/>
          <w:szCs w:val="24"/>
        </w:rPr>
        <w:t xml:space="preserve"> – Typy spraw:</w:t>
      </w:r>
    </w:p>
    <w:p w14:paraId="055D3607" w14:textId="4BDC6F1B" w:rsidR="00C53CCE" w:rsidRDefault="00C53CCE" w:rsidP="00AB16B3">
      <w:pPr>
        <w:spacing w:after="120"/>
        <w:ind w:left="354"/>
        <w:rPr>
          <w:sz w:val="24"/>
          <w:szCs w:val="24"/>
        </w:rPr>
      </w:pPr>
      <w:r w:rsidRPr="005461F5">
        <w:rPr>
          <w:b/>
          <w:bCs/>
          <w:sz w:val="24"/>
          <w:szCs w:val="24"/>
        </w:rPr>
        <w:t>Typy spraw prowadzonych w sądach rodzinnych</w:t>
      </w:r>
      <w:r>
        <w:rPr>
          <w:sz w:val="24"/>
          <w:szCs w:val="24"/>
        </w:rPr>
        <w:t xml:space="preserve"> dotyczących przyznani</w:t>
      </w:r>
      <w:r w:rsidR="005461F5">
        <w:rPr>
          <w:sz w:val="24"/>
          <w:szCs w:val="24"/>
        </w:rPr>
        <w:t>a</w:t>
      </w:r>
      <w:r>
        <w:rPr>
          <w:sz w:val="24"/>
          <w:szCs w:val="24"/>
        </w:rPr>
        <w:t xml:space="preserve"> opieki nad dzieckiem</w:t>
      </w:r>
      <w:r w:rsidR="005461F5">
        <w:rPr>
          <w:sz w:val="24"/>
          <w:szCs w:val="24"/>
        </w:rPr>
        <w:t xml:space="preserve"> (sądy rejonowe)</w:t>
      </w:r>
    </w:p>
    <w:p w14:paraId="636846C8" w14:textId="24EF4C5C" w:rsidR="00C53CCE" w:rsidRDefault="00C53CCE" w:rsidP="00AB16B3">
      <w:pPr>
        <w:spacing w:after="120"/>
        <w:ind w:left="354"/>
      </w:pPr>
      <w:r>
        <w:sym w:font="Symbol" w:char="F0B7"/>
      </w:r>
      <w:r>
        <w:t xml:space="preserve"> spraw</w:t>
      </w:r>
      <w:r>
        <w:t>y</w:t>
      </w:r>
      <w:r>
        <w:t xml:space="preserve"> rodzinn</w:t>
      </w:r>
      <w:r>
        <w:t>e</w:t>
      </w:r>
      <w:r>
        <w:t xml:space="preserve"> dotycząc</w:t>
      </w:r>
      <w:r>
        <w:t>e</w:t>
      </w:r>
      <w:r>
        <w:t xml:space="preserve"> pozbawienia, zawieszenia, ograniczenia władzy rodzicielskiej</w:t>
      </w:r>
    </w:p>
    <w:p w14:paraId="4089ECDD" w14:textId="45E13365" w:rsidR="00C53CCE" w:rsidRDefault="00C53CCE" w:rsidP="00AB16B3">
      <w:pPr>
        <w:spacing w:after="120"/>
        <w:ind w:left="354"/>
      </w:pPr>
      <w:r>
        <w:sym w:font="Symbol" w:char="F0B7"/>
      </w:r>
      <w:r>
        <w:t xml:space="preserve"> spraw</w:t>
      </w:r>
      <w:r>
        <w:t>y</w:t>
      </w:r>
      <w:r>
        <w:t xml:space="preserve"> rodzinn</w:t>
      </w:r>
      <w:r>
        <w:t>e</w:t>
      </w:r>
      <w:r>
        <w:t xml:space="preserve"> dotycząc</w:t>
      </w:r>
      <w:r>
        <w:t>e</w:t>
      </w:r>
      <w:r>
        <w:t xml:space="preserve"> opieki nad osobą małoletnią </w:t>
      </w:r>
    </w:p>
    <w:p w14:paraId="5327EC50" w14:textId="13F1775F" w:rsidR="00C53CCE" w:rsidRDefault="00C53CCE" w:rsidP="00AB16B3">
      <w:pPr>
        <w:spacing w:after="120"/>
        <w:ind w:left="354"/>
      </w:pPr>
      <w:r>
        <w:sym w:font="Symbol" w:char="F0B7"/>
      </w:r>
      <w:r>
        <w:t xml:space="preserve"> sprawy rodzinne dotyczące opieki nad osobą małoletnią - o ustanowienie </w:t>
      </w:r>
      <w:r>
        <w:t>opieki</w:t>
      </w:r>
    </w:p>
    <w:p w14:paraId="64206046" w14:textId="5F714B2D" w:rsidR="00C53CCE" w:rsidRDefault="00C53CCE" w:rsidP="00AB16B3">
      <w:pPr>
        <w:spacing w:after="120"/>
        <w:ind w:left="354"/>
      </w:pPr>
      <w:r>
        <w:sym w:font="Symbol" w:char="F0B7"/>
      </w:r>
      <w:r>
        <w:t xml:space="preserve"> sprawy rodzinne dotyczące opieki nad osobą małoletnią - o zmianę opiekuna </w:t>
      </w:r>
    </w:p>
    <w:p w14:paraId="040A27F5" w14:textId="6F0C2A41" w:rsidR="00C53CCE" w:rsidRDefault="00C53CCE" w:rsidP="00AB16B3">
      <w:pPr>
        <w:spacing w:after="120"/>
        <w:ind w:left="354"/>
      </w:pPr>
      <w:r>
        <w:t xml:space="preserve"> </w:t>
      </w:r>
      <w:r>
        <w:sym w:font="Symbol" w:char="F0B7"/>
      </w:r>
      <w:r>
        <w:t xml:space="preserve"> </w:t>
      </w:r>
      <w:r w:rsidR="005461F5">
        <w:t xml:space="preserve">sprawy rodzinne dotyczące </w:t>
      </w:r>
      <w:r>
        <w:t xml:space="preserve">ustalenia miejsca pobytu </w:t>
      </w:r>
    </w:p>
    <w:p w14:paraId="7E37F0B2" w14:textId="77777777" w:rsidR="005461F5" w:rsidRDefault="00C53CCE" w:rsidP="00AB16B3">
      <w:pPr>
        <w:spacing w:after="120"/>
        <w:ind w:left="354"/>
      </w:pPr>
      <w:r>
        <w:sym w:font="Symbol" w:char="F0B7"/>
      </w:r>
      <w:r>
        <w:t xml:space="preserve"> </w:t>
      </w:r>
      <w:r w:rsidR="005461F5">
        <w:t xml:space="preserve">sprawy rodzinne dotyczące </w:t>
      </w:r>
      <w:r>
        <w:t xml:space="preserve">ustalenia miejsca pobytu małoletniego </w:t>
      </w:r>
    </w:p>
    <w:p w14:paraId="362A86B3" w14:textId="77777777" w:rsidR="005461F5" w:rsidRDefault="00C53CCE" w:rsidP="00AB16B3">
      <w:pPr>
        <w:spacing w:after="120"/>
        <w:ind w:left="354"/>
      </w:pPr>
      <w:r>
        <w:sym w:font="Symbol" w:char="F0B7"/>
      </w:r>
      <w:r>
        <w:t xml:space="preserve"> </w:t>
      </w:r>
      <w:r w:rsidR="005461F5">
        <w:t xml:space="preserve">sprawy rodzinne dotyczące </w:t>
      </w:r>
      <w:r>
        <w:t xml:space="preserve">ustalenia kontaktów z małoletnim </w:t>
      </w:r>
    </w:p>
    <w:p w14:paraId="46D1F754" w14:textId="45AED02A" w:rsidR="00C53CCE" w:rsidRDefault="00C53CCE" w:rsidP="00AB16B3">
      <w:pPr>
        <w:spacing w:after="120"/>
        <w:ind w:left="354"/>
        <w:rPr>
          <w:sz w:val="24"/>
          <w:szCs w:val="24"/>
        </w:rPr>
      </w:pPr>
      <w:r>
        <w:sym w:font="Symbol" w:char="F0B7"/>
      </w:r>
      <w:r>
        <w:t xml:space="preserve"> spraw</w:t>
      </w:r>
      <w:r w:rsidR="005461F5">
        <w:t>y</w:t>
      </w:r>
      <w:r>
        <w:t xml:space="preserve"> rodzinn</w:t>
      </w:r>
      <w:r w:rsidR="005461F5">
        <w:t>e</w:t>
      </w:r>
      <w:r>
        <w:t xml:space="preserve"> o wykonanie kontaktów </w:t>
      </w:r>
    </w:p>
    <w:p w14:paraId="1FF1E1F5" w14:textId="58D95CBC" w:rsidR="00C53CCE" w:rsidRDefault="00C53CCE" w:rsidP="00AB16B3">
      <w:pPr>
        <w:spacing w:after="120"/>
        <w:ind w:left="354"/>
        <w:rPr>
          <w:sz w:val="24"/>
          <w:szCs w:val="24"/>
        </w:rPr>
      </w:pPr>
    </w:p>
    <w:p w14:paraId="25C77B21" w14:textId="1BEAE95A" w:rsidR="005461F5" w:rsidRDefault="005461F5" w:rsidP="00AB16B3">
      <w:pPr>
        <w:spacing w:after="120"/>
        <w:ind w:left="354"/>
        <w:rPr>
          <w:sz w:val="24"/>
          <w:szCs w:val="24"/>
        </w:rPr>
      </w:pPr>
      <w:r w:rsidRPr="005461F5">
        <w:rPr>
          <w:b/>
          <w:bCs/>
        </w:rPr>
        <w:t xml:space="preserve">Typy </w:t>
      </w:r>
      <w:r w:rsidRPr="005461F5">
        <w:rPr>
          <w:b/>
          <w:bCs/>
        </w:rPr>
        <w:t>spraw o rozwód i separację</w:t>
      </w:r>
      <w:r w:rsidRPr="005461F5">
        <w:rPr>
          <w:b/>
          <w:bCs/>
        </w:rPr>
        <w:t xml:space="preserve"> </w:t>
      </w:r>
      <w:r>
        <w:rPr>
          <w:b/>
          <w:bCs/>
        </w:rPr>
        <w:t xml:space="preserve">które mogą </w:t>
      </w:r>
      <w:r w:rsidRPr="005461F5">
        <w:rPr>
          <w:b/>
          <w:bCs/>
        </w:rPr>
        <w:t>dotyc</w:t>
      </w:r>
      <w:r>
        <w:rPr>
          <w:b/>
          <w:bCs/>
        </w:rPr>
        <w:t>zyć</w:t>
      </w:r>
      <w:r w:rsidRPr="005461F5">
        <w:rPr>
          <w:b/>
          <w:bCs/>
        </w:rPr>
        <w:t xml:space="preserve"> przyznania opieki nad dzieckiem</w:t>
      </w:r>
      <w:r>
        <w:t xml:space="preserve"> (sądy okręgowe)</w:t>
      </w:r>
    </w:p>
    <w:p w14:paraId="0AB97E47" w14:textId="77777777" w:rsidR="005461F5" w:rsidRDefault="005461F5" w:rsidP="005461F5">
      <w:pPr>
        <w:pStyle w:val="Akapitzlist"/>
        <w:numPr>
          <w:ilvl w:val="0"/>
          <w:numId w:val="25"/>
        </w:numPr>
        <w:spacing w:after="120"/>
        <w:ind w:left="709"/>
      </w:pPr>
      <w:r>
        <w:t>spraw</w:t>
      </w:r>
      <w:r>
        <w:t>y</w:t>
      </w:r>
      <w:r>
        <w:t xml:space="preserve"> o rozwód (MS-S1o dz. 1.1.1. w. 5) </w:t>
      </w:r>
    </w:p>
    <w:p w14:paraId="700AAB7C" w14:textId="77777777" w:rsidR="005461F5" w:rsidRDefault="005461F5" w:rsidP="00AB16B3">
      <w:pPr>
        <w:spacing w:after="120"/>
        <w:ind w:left="354"/>
      </w:pPr>
      <w:r>
        <w:sym w:font="Symbol" w:char="F0B7"/>
      </w:r>
      <w:r>
        <w:t xml:space="preserve"> spraw</w:t>
      </w:r>
      <w:r>
        <w:t>y</w:t>
      </w:r>
      <w:r>
        <w:t xml:space="preserve"> o rozwód z zastosowaniem art. 58§2 </w:t>
      </w:r>
      <w:proofErr w:type="spellStart"/>
      <w:r>
        <w:t>k.r.o</w:t>
      </w:r>
      <w:proofErr w:type="spellEnd"/>
      <w:r>
        <w:t xml:space="preserve">. bez zdania pierwszego (MS-S1o dz. 1.1.1. w. 6) </w:t>
      </w:r>
    </w:p>
    <w:p w14:paraId="37FB0565" w14:textId="77777777" w:rsidR="005461F5" w:rsidRDefault="005461F5" w:rsidP="00AB16B3">
      <w:pPr>
        <w:spacing w:after="120"/>
        <w:ind w:left="354"/>
      </w:pPr>
      <w:r>
        <w:sym w:font="Symbol" w:char="F0B7"/>
      </w:r>
      <w:r>
        <w:t xml:space="preserve"> spraw</w:t>
      </w:r>
      <w:r>
        <w:t>y</w:t>
      </w:r>
      <w:r>
        <w:t xml:space="preserve"> o rozwód z zastosowaniem art. 58§3 </w:t>
      </w:r>
      <w:proofErr w:type="spellStart"/>
      <w:r>
        <w:t>k.r.o</w:t>
      </w:r>
      <w:proofErr w:type="spellEnd"/>
      <w:r>
        <w:t xml:space="preserve">. (MS-S1o dz. 1.1.1. w. 7) </w:t>
      </w:r>
    </w:p>
    <w:p w14:paraId="50B7731C" w14:textId="77777777" w:rsidR="005461F5" w:rsidRDefault="005461F5" w:rsidP="00AB16B3">
      <w:pPr>
        <w:spacing w:after="120"/>
        <w:ind w:left="354"/>
      </w:pPr>
      <w:r>
        <w:sym w:font="Symbol" w:char="F0B7"/>
      </w:r>
      <w:r>
        <w:t xml:space="preserve"> spraw</w:t>
      </w:r>
      <w:r>
        <w:t>y</w:t>
      </w:r>
      <w:r>
        <w:t xml:space="preserve"> o rozwód z zastosowaniem art. 58§2 </w:t>
      </w:r>
      <w:proofErr w:type="spellStart"/>
      <w:r>
        <w:t>k.r.o</w:t>
      </w:r>
      <w:proofErr w:type="spellEnd"/>
      <w:r>
        <w:t xml:space="preserve">. bez zdania pierwszego i §3 </w:t>
      </w:r>
      <w:proofErr w:type="spellStart"/>
      <w:r>
        <w:t>k.r.o</w:t>
      </w:r>
      <w:proofErr w:type="spellEnd"/>
      <w:r>
        <w:t xml:space="preserve">. (MS-S1o dz. 1.1.1. w. 8) </w:t>
      </w:r>
    </w:p>
    <w:p w14:paraId="5211DD76" w14:textId="1269D71B" w:rsidR="005461F5" w:rsidRDefault="005461F5" w:rsidP="00AB16B3">
      <w:pPr>
        <w:spacing w:after="120"/>
        <w:ind w:left="354"/>
      </w:pPr>
      <w:r>
        <w:sym w:font="Symbol" w:char="F0B7"/>
      </w:r>
      <w:r>
        <w:t xml:space="preserve"> spraw</w:t>
      </w:r>
      <w:r>
        <w:t>y</w:t>
      </w:r>
      <w:r>
        <w:t xml:space="preserve"> o separację (MS-S1o dz. 1.1.1. w. 10) </w:t>
      </w:r>
    </w:p>
    <w:p w14:paraId="2274F493" w14:textId="7BD782EA" w:rsidR="005461F5" w:rsidRDefault="005461F5" w:rsidP="00AB16B3">
      <w:pPr>
        <w:spacing w:after="120"/>
        <w:ind w:left="354"/>
      </w:pPr>
      <w:r>
        <w:sym w:font="Symbol" w:char="F0B7"/>
      </w:r>
      <w:r>
        <w:t xml:space="preserve"> spraw</w:t>
      </w:r>
      <w:r>
        <w:t>y</w:t>
      </w:r>
      <w:r>
        <w:t xml:space="preserve"> o separację z zastosowaniem art. 58§2 </w:t>
      </w:r>
      <w:proofErr w:type="spellStart"/>
      <w:r>
        <w:t>k.r.o</w:t>
      </w:r>
      <w:proofErr w:type="spellEnd"/>
      <w:r>
        <w:t>. bez zdania pierwszego (MS-S1o dz. 1.1.1. w. 11</w:t>
      </w:r>
      <w:r>
        <w:t>)</w:t>
      </w:r>
    </w:p>
    <w:p w14:paraId="15F2CBDB" w14:textId="77777777" w:rsidR="005461F5" w:rsidRDefault="005461F5" w:rsidP="005461F5">
      <w:pPr>
        <w:spacing w:after="120"/>
        <w:ind w:left="284"/>
      </w:pPr>
      <w:r>
        <w:sym w:font="Symbol" w:char="F0B7"/>
      </w:r>
      <w:r>
        <w:t xml:space="preserve"> spraw</w:t>
      </w:r>
      <w:r>
        <w:t>y</w:t>
      </w:r>
      <w:r>
        <w:t xml:space="preserve"> o separację z zastosowaniem art. 58§3 </w:t>
      </w:r>
      <w:proofErr w:type="spellStart"/>
      <w:r>
        <w:t>k.r.o</w:t>
      </w:r>
      <w:proofErr w:type="spellEnd"/>
      <w:r>
        <w:t xml:space="preserve">. (MS-S1o dz. 1.1.1. w. 12) </w:t>
      </w:r>
    </w:p>
    <w:p w14:paraId="798FF1DC" w14:textId="53E3C2D6" w:rsidR="00AB16B3" w:rsidRDefault="005461F5" w:rsidP="005461F5">
      <w:pPr>
        <w:spacing w:after="120"/>
        <w:rPr>
          <w:rFonts w:ascii="Times New Roman" w:eastAsia="Times New Roman" w:hAnsi="Times New Roman" w:cs="Tahoma"/>
          <w:bCs/>
          <w:sz w:val="26"/>
          <w:szCs w:val="26"/>
          <w:lang w:eastAsia="pl-PL"/>
        </w:rPr>
      </w:pPr>
      <w:r>
        <w:sym w:font="Symbol" w:char="F0B7"/>
      </w:r>
      <w:r>
        <w:t xml:space="preserve"> spraw o separację z zastosowaniem art. 58§2 </w:t>
      </w:r>
      <w:proofErr w:type="spellStart"/>
      <w:r>
        <w:t>k.r.o</w:t>
      </w:r>
      <w:proofErr w:type="spellEnd"/>
      <w:r>
        <w:t xml:space="preserve">. bez zdania pierwszego i 58§3 </w:t>
      </w:r>
      <w:proofErr w:type="spellStart"/>
      <w:r>
        <w:t>k.r.o</w:t>
      </w:r>
      <w:proofErr w:type="spellEnd"/>
      <w:r>
        <w:t xml:space="preserve">. (MS-S1o dz. 1.1.1. w. 13) </w:t>
      </w:r>
    </w:p>
    <w:sectPr w:rsidR="00AB16B3" w:rsidSect="00800E90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5D5B8" w14:textId="77777777" w:rsidR="003F03D5" w:rsidRDefault="003F03D5">
      <w:pPr>
        <w:spacing w:after="0" w:line="240" w:lineRule="auto"/>
      </w:pPr>
      <w:r>
        <w:separator/>
      </w:r>
    </w:p>
  </w:endnote>
  <w:endnote w:type="continuationSeparator" w:id="0">
    <w:p w14:paraId="323DF004" w14:textId="77777777" w:rsidR="003F03D5" w:rsidRDefault="003F03D5">
      <w:pPr>
        <w:spacing w:after="0" w:line="240" w:lineRule="auto"/>
      </w:pPr>
      <w:r>
        <w:continuationSeparator/>
      </w:r>
    </w:p>
  </w:endnote>
  <w:endnote w:type="continuationNotice" w:id="1">
    <w:p w14:paraId="29828112" w14:textId="77777777" w:rsidR="003F03D5" w:rsidRDefault="003F0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43AD" w14:textId="77777777" w:rsidR="00800E90" w:rsidRDefault="00B3402B" w:rsidP="00800E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1FFB98" w14:textId="77777777" w:rsidR="00800E90" w:rsidRDefault="00800E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007941"/>
      <w:docPartObj>
        <w:docPartGallery w:val="Page Numbers (Bottom of Page)"/>
        <w:docPartUnique/>
      </w:docPartObj>
    </w:sdtPr>
    <w:sdtEndPr/>
    <w:sdtContent>
      <w:p w14:paraId="778CE441" w14:textId="4D5F140E" w:rsidR="007101E5" w:rsidRDefault="00710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CC3C8" w14:textId="77777777" w:rsidR="00800E90" w:rsidRDefault="00800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EB18" w14:textId="77777777" w:rsidR="003F03D5" w:rsidRDefault="003F03D5">
      <w:pPr>
        <w:spacing w:after="0" w:line="240" w:lineRule="auto"/>
      </w:pPr>
      <w:r>
        <w:separator/>
      </w:r>
    </w:p>
  </w:footnote>
  <w:footnote w:type="continuationSeparator" w:id="0">
    <w:p w14:paraId="7DD817ED" w14:textId="77777777" w:rsidR="003F03D5" w:rsidRDefault="003F03D5">
      <w:pPr>
        <w:spacing w:after="0" w:line="240" w:lineRule="auto"/>
      </w:pPr>
      <w:r>
        <w:continuationSeparator/>
      </w:r>
    </w:p>
  </w:footnote>
  <w:footnote w:type="continuationNotice" w:id="1">
    <w:p w14:paraId="2ED5EBA7" w14:textId="77777777" w:rsidR="003F03D5" w:rsidRDefault="003F03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1B716" w14:textId="77777777" w:rsidR="00800E90" w:rsidRPr="00BE4D52" w:rsidRDefault="00B3402B" w:rsidP="00800E90">
    <w:pPr>
      <w:pStyle w:val="Nagwek"/>
      <w:tabs>
        <w:tab w:val="clear" w:pos="9072"/>
        <w:tab w:val="left" w:pos="7380"/>
      </w:tabs>
      <w:ind w:right="1692"/>
      <w:jc w:val="right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A36827" wp14:editId="76DF94D4">
          <wp:simplePos x="0" y="0"/>
          <wp:positionH relativeFrom="column">
            <wp:posOffset>4801870</wp:posOffset>
          </wp:positionH>
          <wp:positionV relativeFrom="paragraph">
            <wp:posOffset>-40005</wp:posOffset>
          </wp:positionV>
          <wp:extent cx="938530" cy="309880"/>
          <wp:effectExtent l="0" t="0" r="0" b="0"/>
          <wp:wrapSquare wrapText="bothSides"/>
          <wp:docPr id="1" name="Obraz 1" descr="Opis: logo-pom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-pom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</w:t>
    </w:r>
    <w:r>
      <w:rPr>
        <w:sz w:val="20"/>
      </w:rPr>
      <w:tab/>
    </w:r>
    <w:r w:rsidRPr="00BE4D52">
      <w:rPr>
        <w:sz w:val="20"/>
      </w:rPr>
      <w:t>Biuro Rzecznika Praw Obywatelskich</w:t>
    </w:r>
  </w:p>
  <w:p w14:paraId="21B99C56" w14:textId="77777777" w:rsidR="00800E90" w:rsidRPr="00BE4D52" w:rsidRDefault="00B3402B" w:rsidP="00800E90">
    <w:pPr>
      <w:pStyle w:val="Nagwek"/>
      <w:tabs>
        <w:tab w:val="clear" w:pos="9072"/>
        <w:tab w:val="left" w:pos="7380"/>
      </w:tabs>
      <w:ind w:right="1692"/>
      <w:jc w:val="right"/>
      <w:rPr>
        <w:sz w:val="20"/>
      </w:rPr>
    </w:pPr>
    <w:r>
      <w:rPr>
        <w:sz w:val="20"/>
      </w:rPr>
      <w:t>Zespół</w:t>
    </w:r>
    <w:r w:rsidRPr="00BE4D52">
      <w:rPr>
        <w:sz w:val="20"/>
      </w:rPr>
      <w:t xml:space="preserve"> </w:t>
    </w:r>
    <w:r>
      <w:rPr>
        <w:sz w:val="20"/>
      </w:rPr>
      <w:t>do spraw Równego Traktowania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1196"/>
    <w:multiLevelType w:val="hybridMultilevel"/>
    <w:tmpl w:val="DC00A8E0"/>
    <w:lvl w:ilvl="0" w:tplc="EBB0804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D425D3"/>
    <w:multiLevelType w:val="hybridMultilevel"/>
    <w:tmpl w:val="92FC44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5D7"/>
    <w:multiLevelType w:val="hybridMultilevel"/>
    <w:tmpl w:val="5DFC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6F21"/>
    <w:multiLevelType w:val="hybridMultilevel"/>
    <w:tmpl w:val="A384ACE4"/>
    <w:lvl w:ilvl="0" w:tplc="7C3EE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2C29"/>
    <w:multiLevelType w:val="hybridMultilevel"/>
    <w:tmpl w:val="A53C5B8E"/>
    <w:lvl w:ilvl="0" w:tplc="31503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C1A69"/>
    <w:multiLevelType w:val="hybridMultilevel"/>
    <w:tmpl w:val="DE2C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17155"/>
    <w:multiLevelType w:val="hybridMultilevel"/>
    <w:tmpl w:val="724C2984"/>
    <w:lvl w:ilvl="0" w:tplc="A984E1B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CB0"/>
    <w:multiLevelType w:val="hybridMultilevel"/>
    <w:tmpl w:val="E8107106"/>
    <w:lvl w:ilvl="0" w:tplc="EBB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795217"/>
    <w:multiLevelType w:val="hybridMultilevel"/>
    <w:tmpl w:val="277A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E1C6E"/>
    <w:multiLevelType w:val="hybridMultilevel"/>
    <w:tmpl w:val="5CC09480"/>
    <w:lvl w:ilvl="0" w:tplc="99EEA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A261F"/>
    <w:multiLevelType w:val="hybridMultilevel"/>
    <w:tmpl w:val="6C185F9C"/>
    <w:lvl w:ilvl="0" w:tplc="EBB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97911"/>
    <w:multiLevelType w:val="hybridMultilevel"/>
    <w:tmpl w:val="9E966964"/>
    <w:lvl w:ilvl="0" w:tplc="A984E1B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A53C6"/>
    <w:multiLevelType w:val="hybridMultilevel"/>
    <w:tmpl w:val="4E8E0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B6A12"/>
    <w:multiLevelType w:val="hybridMultilevel"/>
    <w:tmpl w:val="BEFC4902"/>
    <w:lvl w:ilvl="0" w:tplc="631E14D6">
      <w:start w:val="1"/>
      <w:numFmt w:val="decimal"/>
      <w:lvlText w:val="%1."/>
      <w:lvlJc w:val="left"/>
      <w:pPr>
        <w:ind w:left="560" w:hanging="4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573E2D0A"/>
    <w:multiLevelType w:val="hybridMultilevel"/>
    <w:tmpl w:val="4050A1C0"/>
    <w:lvl w:ilvl="0" w:tplc="EBB080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C306BF"/>
    <w:multiLevelType w:val="hybridMultilevel"/>
    <w:tmpl w:val="F162E382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5BC846B0"/>
    <w:multiLevelType w:val="hybridMultilevel"/>
    <w:tmpl w:val="21AC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0EBE"/>
    <w:multiLevelType w:val="hybridMultilevel"/>
    <w:tmpl w:val="5FE2BB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77C3E"/>
    <w:multiLevelType w:val="hybridMultilevel"/>
    <w:tmpl w:val="80F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67CE6"/>
    <w:multiLevelType w:val="hybridMultilevel"/>
    <w:tmpl w:val="ADFC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06A68"/>
    <w:multiLevelType w:val="hybridMultilevel"/>
    <w:tmpl w:val="A47CC4D8"/>
    <w:lvl w:ilvl="0" w:tplc="31503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141CDCCA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A16F53"/>
    <w:multiLevelType w:val="hybridMultilevel"/>
    <w:tmpl w:val="1EA4DE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B0418F"/>
    <w:multiLevelType w:val="hybridMultilevel"/>
    <w:tmpl w:val="DF6A9672"/>
    <w:lvl w:ilvl="0" w:tplc="C32E4E0E">
      <w:start w:val="1"/>
      <w:numFmt w:val="lowerLetter"/>
      <w:lvlText w:val="%1)"/>
      <w:lvlJc w:val="left"/>
      <w:pPr>
        <w:ind w:left="1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3" w15:restartNumberingAfterBreak="0">
    <w:nsid w:val="77AE17E8"/>
    <w:multiLevelType w:val="hybridMultilevel"/>
    <w:tmpl w:val="04207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B7208"/>
    <w:multiLevelType w:val="hybridMultilevel"/>
    <w:tmpl w:val="3D4E6096"/>
    <w:lvl w:ilvl="0" w:tplc="A5D09C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16"/>
  </w:num>
  <w:num w:numId="5">
    <w:abstractNumId w:val="6"/>
  </w:num>
  <w:num w:numId="6">
    <w:abstractNumId w:val="11"/>
  </w:num>
  <w:num w:numId="7">
    <w:abstractNumId w:val="23"/>
  </w:num>
  <w:num w:numId="8">
    <w:abstractNumId w:val="20"/>
  </w:num>
  <w:num w:numId="9">
    <w:abstractNumId w:val="22"/>
  </w:num>
  <w:num w:numId="10">
    <w:abstractNumId w:val="4"/>
  </w:num>
  <w:num w:numId="11">
    <w:abstractNumId w:val="13"/>
  </w:num>
  <w:num w:numId="12">
    <w:abstractNumId w:val="2"/>
  </w:num>
  <w:num w:numId="13">
    <w:abstractNumId w:val="19"/>
  </w:num>
  <w:num w:numId="14">
    <w:abstractNumId w:val="3"/>
  </w:num>
  <w:num w:numId="15">
    <w:abstractNumId w:val="1"/>
  </w:num>
  <w:num w:numId="16">
    <w:abstractNumId w:val="8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0"/>
  </w:num>
  <w:num w:numId="22">
    <w:abstractNumId w:val="0"/>
  </w:num>
  <w:num w:numId="23">
    <w:abstractNumId w:val="14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9E"/>
    <w:rsid w:val="0001781E"/>
    <w:rsid w:val="00035120"/>
    <w:rsid w:val="000566B9"/>
    <w:rsid w:val="00090175"/>
    <w:rsid w:val="000C3D6F"/>
    <w:rsid w:val="000F3993"/>
    <w:rsid w:val="00156152"/>
    <w:rsid w:val="00191406"/>
    <w:rsid w:val="001B550A"/>
    <w:rsid w:val="001D0A11"/>
    <w:rsid w:val="00221065"/>
    <w:rsid w:val="002239A4"/>
    <w:rsid w:val="00246CF4"/>
    <w:rsid w:val="0025205D"/>
    <w:rsid w:val="00255EA7"/>
    <w:rsid w:val="00286202"/>
    <w:rsid w:val="002F2A3E"/>
    <w:rsid w:val="003052A6"/>
    <w:rsid w:val="00313DA7"/>
    <w:rsid w:val="00317E45"/>
    <w:rsid w:val="00342A17"/>
    <w:rsid w:val="00342B0F"/>
    <w:rsid w:val="00360FEB"/>
    <w:rsid w:val="00391A8C"/>
    <w:rsid w:val="003B21E1"/>
    <w:rsid w:val="003B55A8"/>
    <w:rsid w:val="003D26DE"/>
    <w:rsid w:val="003F03D5"/>
    <w:rsid w:val="003F551D"/>
    <w:rsid w:val="004006AE"/>
    <w:rsid w:val="00441A2B"/>
    <w:rsid w:val="00461094"/>
    <w:rsid w:val="004B6932"/>
    <w:rsid w:val="004C11A3"/>
    <w:rsid w:val="00505905"/>
    <w:rsid w:val="005461F5"/>
    <w:rsid w:val="00567A72"/>
    <w:rsid w:val="00570BE8"/>
    <w:rsid w:val="00572998"/>
    <w:rsid w:val="005A3A80"/>
    <w:rsid w:val="005A6129"/>
    <w:rsid w:val="005B61D5"/>
    <w:rsid w:val="005B6901"/>
    <w:rsid w:val="005D6239"/>
    <w:rsid w:val="00602D1E"/>
    <w:rsid w:val="00604379"/>
    <w:rsid w:val="00660D3A"/>
    <w:rsid w:val="006770CD"/>
    <w:rsid w:val="006A36F4"/>
    <w:rsid w:val="006A4C03"/>
    <w:rsid w:val="006C5B6C"/>
    <w:rsid w:val="006E69FC"/>
    <w:rsid w:val="007013BB"/>
    <w:rsid w:val="007101E5"/>
    <w:rsid w:val="0071115A"/>
    <w:rsid w:val="007116E7"/>
    <w:rsid w:val="00723D2D"/>
    <w:rsid w:val="00727CBB"/>
    <w:rsid w:val="00732AF5"/>
    <w:rsid w:val="0074609E"/>
    <w:rsid w:val="0076164A"/>
    <w:rsid w:val="0078462A"/>
    <w:rsid w:val="007A570B"/>
    <w:rsid w:val="007D7ADE"/>
    <w:rsid w:val="007F3035"/>
    <w:rsid w:val="00800E90"/>
    <w:rsid w:val="00801D8F"/>
    <w:rsid w:val="00811DCE"/>
    <w:rsid w:val="00851565"/>
    <w:rsid w:val="00862B6E"/>
    <w:rsid w:val="008765C2"/>
    <w:rsid w:val="008906ED"/>
    <w:rsid w:val="00893E8C"/>
    <w:rsid w:val="008B1380"/>
    <w:rsid w:val="008C25DC"/>
    <w:rsid w:val="009156B1"/>
    <w:rsid w:val="00931B95"/>
    <w:rsid w:val="00934ECD"/>
    <w:rsid w:val="009552C3"/>
    <w:rsid w:val="00985FFC"/>
    <w:rsid w:val="009944BB"/>
    <w:rsid w:val="009977AB"/>
    <w:rsid w:val="009C4F73"/>
    <w:rsid w:val="009D0A80"/>
    <w:rsid w:val="009F3796"/>
    <w:rsid w:val="009F5B1D"/>
    <w:rsid w:val="00A10E18"/>
    <w:rsid w:val="00A26381"/>
    <w:rsid w:val="00A77203"/>
    <w:rsid w:val="00A8149B"/>
    <w:rsid w:val="00AA2AC8"/>
    <w:rsid w:val="00AB16B3"/>
    <w:rsid w:val="00AC2067"/>
    <w:rsid w:val="00AD4D60"/>
    <w:rsid w:val="00AE1FCE"/>
    <w:rsid w:val="00AE440E"/>
    <w:rsid w:val="00B07063"/>
    <w:rsid w:val="00B3402B"/>
    <w:rsid w:val="00B8181D"/>
    <w:rsid w:val="00B90CDF"/>
    <w:rsid w:val="00BC3493"/>
    <w:rsid w:val="00BC72D1"/>
    <w:rsid w:val="00BE17A3"/>
    <w:rsid w:val="00C122EF"/>
    <w:rsid w:val="00C171DB"/>
    <w:rsid w:val="00C35495"/>
    <w:rsid w:val="00C477B2"/>
    <w:rsid w:val="00C47C40"/>
    <w:rsid w:val="00C53CCE"/>
    <w:rsid w:val="00CC6ABE"/>
    <w:rsid w:val="00CF149B"/>
    <w:rsid w:val="00CF51C7"/>
    <w:rsid w:val="00CF7430"/>
    <w:rsid w:val="00D06E14"/>
    <w:rsid w:val="00D1478E"/>
    <w:rsid w:val="00D41587"/>
    <w:rsid w:val="00D54EF6"/>
    <w:rsid w:val="00D70531"/>
    <w:rsid w:val="00D87BA6"/>
    <w:rsid w:val="00DC7EA3"/>
    <w:rsid w:val="00DE4DD6"/>
    <w:rsid w:val="00E240A1"/>
    <w:rsid w:val="00E3381E"/>
    <w:rsid w:val="00E632E5"/>
    <w:rsid w:val="00E73D28"/>
    <w:rsid w:val="00EB0561"/>
    <w:rsid w:val="00EE692F"/>
    <w:rsid w:val="00EF0389"/>
    <w:rsid w:val="00F0187A"/>
    <w:rsid w:val="00F12CFC"/>
    <w:rsid w:val="00F435CD"/>
    <w:rsid w:val="00F437DA"/>
    <w:rsid w:val="00F615BE"/>
    <w:rsid w:val="00F71594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C73F"/>
  <w15:docId w15:val="{18F98F4D-A782-4D9D-99F8-797E1514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1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1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0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02B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B3402B"/>
  </w:style>
  <w:style w:type="paragraph" w:styleId="Akapitzlist">
    <w:name w:val="List Paragraph"/>
    <w:basedOn w:val="Normalny"/>
    <w:uiPriority w:val="34"/>
    <w:qFormat/>
    <w:rsid w:val="00B340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06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0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065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111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15A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1115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1115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B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B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B9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8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0E1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8906ED"/>
  </w:style>
  <w:style w:type="character" w:styleId="Uwydatnienie">
    <w:name w:val="Emphasis"/>
    <w:basedOn w:val="Domylnaczcionkaakapitu"/>
    <w:uiPriority w:val="20"/>
    <w:qFormat/>
    <w:rsid w:val="008906ED"/>
    <w:rPr>
      <w:i/>
      <w:iCs/>
    </w:rPr>
  </w:style>
  <w:style w:type="character" w:customStyle="1" w:styleId="alb-s">
    <w:name w:val="a_lb-s"/>
    <w:basedOn w:val="Domylnaczcionkaakapitu"/>
    <w:rsid w:val="008906E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914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0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57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83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62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E9BD58970AF4CB619EDE26C9F61BE" ma:contentTypeVersion="5" ma:contentTypeDescription="Utwórz nowy dokument." ma:contentTypeScope="" ma:versionID="ecf6a4ace893876715028ac47a675827">
  <xsd:schema xmlns:xsd="http://www.w3.org/2001/XMLSchema" xmlns:xs="http://www.w3.org/2001/XMLSchema" xmlns:p="http://schemas.microsoft.com/office/2006/metadata/properties" xmlns:ns3="5a7bb4c0-1319-46b9-b0d9-ee6158fee563" xmlns:ns4="8338bfaf-7669-4518-afd6-265441cc2aed" targetNamespace="http://schemas.microsoft.com/office/2006/metadata/properties" ma:root="true" ma:fieldsID="6497479df3e18fd0a63508f58244993c" ns3:_="" ns4:_="">
    <xsd:import namespace="5a7bb4c0-1319-46b9-b0d9-ee6158fee563"/>
    <xsd:import namespace="8338bfaf-7669-4518-afd6-265441cc2a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bb4c0-1319-46b9-b0d9-ee6158fee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bfaf-7669-4518-afd6-265441cc2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4783-A58A-49E2-A662-429663152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FB440-6E81-412E-BB73-BB42836EC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FB9870-78BD-4CD5-9CC6-BB156BB20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bb4c0-1319-46b9-b0d9-ee6158fee563"/>
    <ds:schemaRef ds:uri="8338bfaf-7669-4518-afd6-265441cc2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66C2F-0AFC-4085-956F-011982CD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Chabiera</dc:creator>
  <cp:keywords/>
  <cp:lastModifiedBy>Anna Chabiera</cp:lastModifiedBy>
  <cp:revision>3</cp:revision>
  <dcterms:created xsi:type="dcterms:W3CDTF">2020-10-07T09:24:00Z</dcterms:created>
  <dcterms:modified xsi:type="dcterms:W3CDTF">2020-10-07T09:25:00Z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0x010100ABDE9BD58970AF4CB619EDE26C9F61BE</vt:lpwstr>
  </property>
</Properties>
</file>