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37" w:rsidRPr="00610C53" w:rsidRDefault="00AB5966" w:rsidP="00CE3310">
      <w:pPr>
        <w:jc w:val="both"/>
        <w:rPr>
          <w:b/>
          <w:lang w:val="en-GB"/>
        </w:rPr>
      </w:pPr>
      <w:bookmarkStart w:id="0" w:name="_GoBack"/>
      <w:bookmarkEnd w:id="0"/>
      <w:r w:rsidRPr="00610C53">
        <w:rPr>
          <w:b/>
          <w:lang w:val="en-GB"/>
        </w:rPr>
        <w:t xml:space="preserve">THE CHR’s report </w:t>
      </w:r>
      <w:r w:rsidR="003C5937" w:rsidRPr="00610C53">
        <w:rPr>
          <w:b/>
          <w:lang w:val="en-GB"/>
        </w:rPr>
        <w:t>„</w:t>
      </w:r>
      <w:r w:rsidR="00CE3310" w:rsidRPr="00610C53">
        <w:rPr>
          <w:rFonts w:cs="Times New Roman"/>
          <w:b/>
          <w:lang w:val="en-GB"/>
        </w:rPr>
        <w:t>Availability of community support for the elderly from the point of view of representatives of municipalities of the Dolnośląskie province</w:t>
      </w:r>
      <w:r w:rsidR="003C5937" w:rsidRPr="00610C53">
        <w:rPr>
          <w:b/>
          <w:lang w:val="en-GB"/>
        </w:rPr>
        <w:t>”</w:t>
      </w:r>
      <w:r w:rsidR="007A462E" w:rsidRPr="00610C53">
        <w:rPr>
          <w:b/>
          <w:lang w:val="en-GB"/>
        </w:rPr>
        <w:t xml:space="preserve"> </w:t>
      </w:r>
      <w:r w:rsidR="00CE3310" w:rsidRPr="00610C53">
        <w:rPr>
          <w:b/>
          <w:lang w:val="en-GB"/>
        </w:rPr>
        <w:t>(2016</w:t>
      </w:r>
      <w:r w:rsidR="002E1BA0" w:rsidRPr="00610C53">
        <w:rPr>
          <w:b/>
          <w:lang w:val="en-GB"/>
        </w:rPr>
        <w:t xml:space="preserve">) </w:t>
      </w:r>
      <w:r w:rsidR="004F40C2" w:rsidRPr="00610C53">
        <w:rPr>
          <w:b/>
          <w:lang w:val="en-GB"/>
        </w:rPr>
        <w:t xml:space="preserve">– </w:t>
      </w:r>
      <w:r w:rsidR="00CE3310" w:rsidRPr="00610C53">
        <w:rPr>
          <w:b/>
          <w:lang w:val="en-GB"/>
        </w:rPr>
        <w:t>key data and conclusions</w:t>
      </w:r>
    </w:p>
    <w:p w:rsidR="00DB66BA" w:rsidRPr="00610C53" w:rsidRDefault="006C2BA0" w:rsidP="004F40C2">
      <w:pPr>
        <w:spacing w:after="0"/>
        <w:jc w:val="both"/>
        <w:rPr>
          <w:lang w:val="en-GB"/>
        </w:rPr>
      </w:pPr>
      <w:r w:rsidRPr="00610C53">
        <w:rPr>
          <w:rFonts w:cs="Times New Roman"/>
          <w:lang w:val="en-GB"/>
        </w:rPr>
        <w:t>The Polish society is aging rapidly: in 2015, pe</w:t>
      </w:r>
      <w:r w:rsidR="007A35C8" w:rsidRPr="00610C53">
        <w:rPr>
          <w:rFonts w:cs="Times New Roman"/>
          <w:lang w:val="en-GB"/>
        </w:rPr>
        <w:t>ople</w:t>
      </w:r>
      <w:r w:rsidRPr="00610C53">
        <w:rPr>
          <w:rFonts w:cs="Times New Roman"/>
          <w:lang w:val="en-GB"/>
        </w:rPr>
        <w:t xml:space="preserve"> </w:t>
      </w:r>
      <w:r w:rsidR="007A35C8" w:rsidRPr="00610C53">
        <w:rPr>
          <w:rFonts w:cs="Times New Roman"/>
          <w:lang w:val="en-GB"/>
        </w:rPr>
        <w:t xml:space="preserve">aged 65 and over </w:t>
      </w:r>
      <w:r w:rsidRPr="00610C53">
        <w:rPr>
          <w:rFonts w:cs="Times New Roman"/>
          <w:lang w:val="en-GB"/>
        </w:rPr>
        <w:t xml:space="preserve">constituted 15.6% </w:t>
      </w:r>
      <w:r w:rsidR="007A35C8" w:rsidRPr="00610C53">
        <w:rPr>
          <w:rFonts w:cs="Times New Roman"/>
          <w:lang w:val="en-GB"/>
        </w:rPr>
        <w:t xml:space="preserve">of the country’s total population, and those aged </w:t>
      </w:r>
      <w:r w:rsidRPr="00610C53">
        <w:rPr>
          <w:rFonts w:cs="Times New Roman"/>
          <w:lang w:val="en-GB"/>
        </w:rPr>
        <w:t>85</w:t>
      </w:r>
      <w:r w:rsidR="007A35C8" w:rsidRPr="00610C53">
        <w:rPr>
          <w:rFonts w:cs="Times New Roman"/>
          <w:lang w:val="en-GB"/>
        </w:rPr>
        <w:t xml:space="preserve"> and over constituted</w:t>
      </w:r>
      <w:r w:rsidRPr="00610C53">
        <w:rPr>
          <w:rFonts w:cs="Times New Roman"/>
          <w:lang w:val="en-GB"/>
        </w:rPr>
        <w:t xml:space="preserve"> 1.8%</w:t>
      </w:r>
      <w:r w:rsidR="007A35C8" w:rsidRPr="00610C53">
        <w:rPr>
          <w:rFonts w:cs="Times New Roman"/>
          <w:lang w:val="en-GB"/>
        </w:rPr>
        <w:t xml:space="preserve">. By </w:t>
      </w:r>
      <w:r w:rsidRPr="00610C53">
        <w:rPr>
          <w:rFonts w:cs="Times New Roman"/>
          <w:lang w:val="en-GB"/>
        </w:rPr>
        <w:t>2035</w:t>
      </w:r>
      <w:r w:rsidR="007A35C8" w:rsidRPr="00610C53">
        <w:rPr>
          <w:rFonts w:cs="Times New Roman"/>
          <w:lang w:val="en-GB"/>
        </w:rPr>
        <w:t>, the figures will be</w:t>
      </w:r>
      <w:r w:rsidRPr="00610C53">
        <w:rPr>
          <w:rFonts w:cs="Times New Roman"/>
          <w:lang w:val="en-GB"/>
        </w:rPr>
        <w:t xml:space="preserve"> 23.2% and 3.1%, respectively. </w:t>
      </w:r>
      <w:r w:rsidR="009D2F4B" w:rsidRPr="00610C53">
        <w:rPr>
          <w:rFonts w:cs="Times New Roman"/>
          <w:lang w:val="en-GB"/>
        </w:rPr>
        <w:t>The d</w:t>
      </w:r>
      <w:r w:rsidRPr="00610C53">
        <w:rPr>
          <w:rFonts w:cs="Times New Roman"/>
          <w:lang w:val="en-GB"/>
        </w:rPr>
        <w:t>emographic change</w:t>
      </w:r>
      <w:r w:rsidR="000F4BAD" w:rsidRPr="00610C53">
        <w:rPr>
          <w:rFonts w:cs="Times New Roman"/>
          <w:lang w:val="en-GB"/>
        </w:rPr>
        <w:t>s</w:t>
      </w:r>
      <w:r w:rsidRPr="00610C53">
        <w:rPr>
          <w:rFonts w:cs="Times New Roman"/>
          <w:lang w:val="en-GB"/>
        </w:rPr>
        <w:t xml:space="preserve"> </w:t>
      </w:r>
      <w:r w:rsidR="000F4BAD" w:rsidRPr="00610C53">
        <w:rPr>
          <w:rFonts w:cs="Times New Roman"/>
          <w:lang w:val="en-GB"/>
        </w:rPr>
        <w:t xml:space="preserve">require </w:t>
      </w:r>
      <w:r w:rsidRPr="00610C53">
        <w:rPr>
          <w:rFonts w:cs="Times New Roman"/>
          <w:lang w:val="en-GB"/>
        </w:rPr>
        <w:t xml:space="preserve">addressing the challenges of ensuring </w:t>
      </w:r>
      <w:r w:rsidR="009D2F4B" w:rsidRPr="00610C53">
        <w:rPr>
          <w:rFonts w:cs="Times New Roman"/>
          <w:lang w:val="en-GB"/>
        </w:rPr>
        <w:t xml:space="preserve">to older persons </w:t>
      </w:r>
      <w:r w:rsidRPr="00610C53">
        <w:rPr>
          <w:rFonts w:cs="Times New Roman"/>
          <w:lang w:val="en-GB"/>
        </w:rPr>
        <w:t>the right to a decent life, equal treatment and social inclusion.</w:t>
      </w:r>
      <w:r w:rsidR="009D2F4B" w:rsidRPr="00610C53">
        <w:rPr>
          <w:rFonts w:cs="Times New Roman"/>
          <w:lang w:val="en-GB"/>
        </w:rPr>
        <w:t xml:space="preserve"> According to Poland’s Central Statistical Office, in </w:t>
      </w:r>
      <w:r w:rsidR="00DB66BA" w:rsidRPr="00610C53">
        <w:rPr>
          <w:rFonts w:cs="Times New Roman"/>
          <w:lang w:val="en-GB"/>
        </w:rPr>
        <w:t xml:space="preserve">2014 </w:t>
      </w:r>
      <w:r w:rsidR="00DB66BA" w:rsidRPr="00610C53">
        <w:rPr>
          <w:rFonts w:cs="Times New Roman"/>
          <w:b/>
          <w:lang w:val="en-GB"/>
        </w:rPr>
        <w:t xml:space="preserve">one third of persons aged 65+ </w:t>
      </w:r>
      <w:r w:rsidR="009D2F4B" w:rsidRPr="00610C53">
        <w:rPr>
          <w:rFonts w:cs="Times New Roman"/>
          <w:b/>
          <w:lang w:val="en-GB"/>
        </w:rPr>
        <w:t xml:space="preserve">had problems with </w:t>
      </w:r>
      <w:r w:rsidR="00DB66BA" w:rsidRPr="00610C53">
        <w:rPr>
          <w:rFonts w:cs="Times New Roman"/>
          <w:b/>
          <w:lang w:val="en-GB"/>
        </w:rPr>
        <w:t>everyday activities</w:t>
      </w:r>
      <w:r w:rsidR="009D2F4B" w:rsidRPr="00610C53">
        <w:rPr>
          <w:rFonts w:cs="Times New Roman"/>
          <w:b/>
          <w:lang w:val="en-GB"/>
        </w:rPr>
        <w:t xml:space="preserve">. </w:t>
      </w:r>
      <w:r w:rsidR="00DB66BA" w:rsidRPr="00610C53">
        <w:rPr>
          <w:rFonts w:cs="Times New Roman"/>
          <w:b/>
          <w:lang w:val="en-GB"/>
        </w:rPr>
        <w:t xml:space="preserve">45% of </w:t>
      </w:r>
      <w:r w:rsidR="009D2F4B" w:rsidRPr="00610C53">
        <w:rPr>
          <w:rFonts w:cs="Times New Roman"/>
          <w:b/>
          <w:lang w:val="en-GB"/>
        </w:rPr>
        <w:t xml:space="preserve">those persons </w:t>
      </w:r>
      <w:r w:rsidR="00DB66BA" w:rsidRPr="00610C53">
        <w:rPr>
          <w:rFonts w:cs="Times New Roman"/>
          <w:b/>
          <w:lang w:val="en-GB"/>
        </w:rPr>
        <w:t>had no on</w:t>
      </w:r>
      <w:r w:rsidR="009D2F4B" w:rsidRPr="00610C53">
        <w:rPr>
          <w:rFonts w:cs="Times New Roman"/>
          <w:b/>
          <w:lang w:val="en-GB"/>
        </w:rPr>
        <w:t xml:space="preserve">e to turn to and ask for help. </w:t>
      </w:r>
      <w:r w:rsidR="009D2F4B" w:rsidRPr="00610C53">
        <w:rPr>
          <w:rFonts w:cs="Times New Roman"/>
          <w:lang w:val="en-GB"/>
        </w:rPr>
        <w:t>In the period</w:t>
      </w:r>
      <w:r w:rsidR="00DB66BA" w:rsidRPr="00610C53">
        <w:rPr>
          <w:rFonts w:cs="Times New Roman"/>
          <w:b/>
          <w:lang w:val="en-GB"/>
        </w:rPr>
        <w:t xml:space="preserve"> 2011</w:t>
      </w:r>
      <w:r w:rsidR="009D2F4B" w:rsidRPr="00610C53">
        <w:rPr>
          <w:rFonts w:cs="Times New Roman"/>
          <w:b/>
          <w:lang w:val="en-GB"/>
        </w:rPr>
        <w:t>-</w:t>
      </w:r>
      <w:r w:rsidR="00DB66BA" w:rsidRPr="00610C53">
        <w:rPr>
          <w:rFonts w:cs="Times New Roman"/>
          <w:b/>
          <w:lang w:val="en-GB"/>
        </w:rPr>
        <w:t>2014</w:t>
      </w:r>
      <w:r w:rsidR="009D2F4B" w:rsidRPr="00610C53">
        <w:rPr>
          <w:rFonts w:cs="Times New Roman"/>
          <w:b/>
          <w:lang w:val="en-GB"/>
        </w:rPr>
        <w:t>,</w:t>
      </w:r>
      <w:r w:rsidR="00DB66BA" w:rsidRPr="00610C53">
        <w:rPr>
          <w:rFonts w:cs="Times New Roman"/>
          <w:b/>
          <w:lang w:val="en-GB"/>
        </w:rPr>
        <w:t xml:space="preserve"> </w:t>
      </w:r>
      <w:r w:rsidR="00DB66BA" w:rsidRPr="00610C53">
        <w:rPr>
          <w:rFonts w:cs="Times New Roman"/>
          <w:lang w:val="en-GB"/>
        </w:rPr>
        <w:t xml:space="preserve">the number of people using </w:t>
      </w:r>
      <w:r w:rsidR="00BB0610" w:rsidRPr="00610C53">
        <w:rPr>
          <w:rFonts w:cs="Times New Roman"/>
          <w:lang w:val="en-GB"/>
        </w:rPr>
        <w:t xml:space="preserve">community </w:t>
      </w:r>
      <w:r w:rsidR="00DB66BA" w:rsidRPr="00610C53">
        <w:rPr>
          <w:rFonts w:cs="Times New Roman"/>
          <w:lang w:val="en-GB"/>
        </w:rPr>
        <w:t xml:space="preserve">care services in the municipalities </w:t>
      </w:r>
      <w:r w:rsidR="009D2F4B" w:rsidRPr="00610C53">
        <w:rPr>
          <w:rFonts w:cs="Times New Roman"/>
          <w:lang w:val="en-GB"/>
        </w:rPr>
        <w:t xml:space="preserve">inspected by the </w:t>
      </w:r>
      <w:r w:rsidR="00BB0610" w:rsidRPr="00610C53">
        <w:rPr>
          <w:lang w:val="en-GB"/>
        </w:rPr>
        <w:t>Supreme Audit Office</w:t>
      </w:r>
      <w:r w:rsidR="00BB0610" w:rsidRPr="00610C53">
        <w:rPr>
          <w:rFonts w:cs="Times New Roman"/>
          <w:lang w:val="en-GB"/>
        </w:rPr>
        <w:t xml:space="preserve"> </w:t>
      </w:r>
      <w:r w:rsidR="00DB66BA" w:rsidRPr="00610C53">
        <w:rPr>
          <w:rFonts w:cs="Times New Roman"/>
          <w:lang w:val="en-GB"/>
        </w:rPr>
        <w:t xml:space="preserve">remained relatively </w:t>
      </w:r>
      <w:r w:rsidR="00BB0610" w:rsidRPr="00610C53">
        <w:rPr>
          <w:rFonts w:cs="Times New Roman"/>
          <w:lang w:val="en-GB"/>
        </w:rPr>
        <w:t>stable</w:t>
      </w:r>
      <w:r w:rsidR="00DB66BA" w:rsidRPr="00610C53">
        <w:rPr>
          <w:rFonts w:cs="Times New Roman"/>
          <w:lang w:val="en-GB"/>
        </w:rPr>
        <w:t>, whereas</w:t>
      </w:r>
      <w:r w:rsidR="00DB66BA" w:rsidRPr="00610C53">
        <w:rPr>
          <w:rFonts w:cs="Times New Roman"/>
          <w:b/>
          <w:lang w:val="en-GB"/>
        </w:rPr>
        <w:t xml:space="preserve"> the number of people referred to residential homes increased by 40%. </w:t>
      </w:r>
    </w:p>
    <w:p w:rsidR="00295B29" w:rsidRPr="00610C53" w:rsidRDefault="00295B29" w:rsidP="004F40C2">
      <w:pPr>
        <w:spacing w:after="0"/>
        <w:jc w:val="both"/>
        <w:rPr>
          <w:lang w:val="en-GB"/>
        </w:rPr>
      </w:pPr>
    </w:p>
    <w:p w:rsidR="004F40C2" w:rsidRPr="00610C53" w:rsidRDefault="00201045" w:rsidP="004F40C2">
      <w:pPr>
        <w:spacing w:after="0"/>
        <w:jc w:val="both"/>
        <w:rPr>
          <w:lang w:val="en-GB"/>
        </w:rPr>
      </w:pPr>
      <w:r w:rsidRPr="00610C53">
        <w:rPr>
          <w:rFonts w:cs="Times New Roman"/>
          <w:lang w:val="en-GB"/>
        </w:rPr>
        <w:t>The Commissioner for Human Rights</w:t>
      </w:r>
      <w:r w:rsidRPr="00610C53">
        <w:rPr>
          <w:lang w:val="en-GB"/>
        </w:rPr>
        <w:t xml:space="preserve">, as </w:t>
      </w:r>
      <w:r w:rsidR="00BB0610" w:rsidRPr="00610C53">
        <w:rPr>
          <w:lang w:val="en-GB"/>
        </w:rPr>
        <w:t>the country’s</w:t>
      </w:r>
      <w:r w:rsidRPr="00610C53">
        <w:rPr>
          <w:lang w:val="en-GB"/>
        </w:rPr>
        <w:t xml:space="preserve"> independent body for equal treatment, </w:t>
      </w:r>
      <w:r w:rsidR="00BB0610" w:rsidRPr="00610C53">
        <w:rPr>
          <w:lang w:val="en-GB"/>
        </w:rPr>
        <w:t xml:space="preserve">in 2015 </w:t>
      </w:r>
      <w:r w:rsidRPr="00610C53">
        <w:rPr>
          <w:lang w:val="en-GB"/>
        </w:rPr>
        <w:t xml:space="preserve">commissioned the </w:t>
      </w:r>
      <w:r w:rsidR="00BB0610" w:rsidRPr="00610C53">
        <w:rPr>
          <w:lang w:val="en-GB"/>
        </w:rPr>
        <w:t xml:space="preserve">company </w:t>
      </w:r>
      <w:r w:rsidRPr="00610C53">
        <w:rPr>
          <w:lang w:val="en-GB"/>
        </w:rPr>
        <w:t xml:space="preserve">PBS sp. </w:t>
      </w:r>
      <w:r w:rsidR="00BB0610" w:rsidRPr="00610C53">
        <w:rPr>
          <w:lang w:val="en-GB"/>
        </w:rPr>
        <w:t>z</w:t>
      </w:r>
      <w:r w:rsidRPr="00610C53">
        <w:rPr>
          <w:lang w:val="en-GB"/>
        </w:rPr>
        <w:t xml:space="preserve"> o. </w:t>
      </w:r>
      <w:r w:rsidR="00BB0610" w:rsidRPr="00610C53">
        <w:rPr>
          <w:lang w:val="en-GB"/>
        </w:rPr>
        <w:t>o</w:t>
      </w:r>
      <w:r w:rsidRPr="00610C53">
        <w:rPr>
          <w:lang w:val="en-GB"/>
        </w:rPr>
        <w:t xml:space="preserve">. to carry out a quantitative survey representative of the </w:t>
      </w:r>
      <w:r w:rsidR="00BB0610" w:rsidRPr="00610C53">
        <w:rPr>
          <w:lang w:val="en-GB"/>
        </w:rPr>
        <w:t xml:space="preserve">Dolnośląskie </w:t>
      </w:r>
      <w:r w:rsidRPr="00610C53">
        <w:rPr>
          <w:lang w:val="en-GB"/>
        </w:rPr>
        <w:t>province</w:t>
      </w:r>
      <w:r w:rsidR="00BB0610" w:rsidRPr="00610C53">
        <w:rPr>
          <w:lang w:val="en-GB"/>
        </w:rPr>
        <w:t xml:space="preserve"> and a </w:t>
      </w:r>
      <w:r w:rsidRPr="00610C53">
        <w:rPr>
          <w:lang w:val="en-GB"/>
        </w:rPr>
        <w:t xml:space="preserve">qualitative </w:t>
      </w:r>
      <w:r w:rsidR="00BB0610" w:rsidRPr="00610C53">
        <w:rPr>
          <w:lang w:val="en-GB"/>
        </w:rPr>
        <w:t xml:space="preserve">survey </w:t>
      </w:r>
      <w:r w:rsidR="002F4EE8" w:rsidRPr="00610C53">
        <w:rPr>
          <w:lang w:val="en-GB"/>
        </w:rPr>
        <w:t>of</w:t>
      </w:r>
      <w:r w:rsidRPr="00610C53">
        <w:rPr>
          <w:lang w:val="en-GB"/>
        </w:rPr>
        <w:t xml:space="preserve"> 28 </w:t>
      </w:r>
      <w:r w:rsidR="00BB0610" w:rsidRPr="00610C53">
        <w:rPr>
          <w:lang w:val="en-GB"/>
        </w:rPr>
        <w:t xml:space="preserve">municipalities of the </w:t>
      </w:r>
      <w:r w:rsidRPr="00610C53">
        <w:rPr>
          <w:lang w:val="en-GB"/>
        </w:rPr>
        <w:t>province</w:t>
      </w:r>
      <w:r w:rsidR="004F40C2" w:rsidRPr="00610C53">
        <w:rPr>
          <w:lang w:val="en-GB"/>
        </w:rPr>
        <w:t xml:space="preserve">. </w:t>
      </w:r>
    </w:p>
    <w:p w:rsidR="00295B29" w:rsidRPr="00610C53" w:rsidRDefault="00295B29" w:rsidP="004F40C2">
      <w:pPr>
        <w:jc w:val="both"/>
        <w:rPr>
          <w:b/>
          <w:lang w:val="en-GB"/>
        </w:rPr>
      </w:pPr>
    </w:p>
    <w:p w:rsidR="00DB66BA" w:rsidRPr="00610C53" w:rsidRDefault="002D66F0" w:rsidP="002D66F0">
      <w:pPr>
        <w:jc w:val="both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t>Municipal decision makers and Social Welfare Centres’ representatives from the Dolnośląskie province w</w:t>
      </w:r>
      <w:r w:rsidR="003677F3" w:rsidRPr="00610C53">
        <w:rPr>
          <w:rFonts w:cs="Times New Roman"/>
          <w:lang w:val="en-GB"/>
        </w:rPr>
        <w:t>ere</w:t>
      </w:r>
      <w:r w:rsidRPr="00610C53">
        <w:rPr>
          <w:rFonts w:cs="Times New Roman"/>
          <w:lang w:val="en-GB"/>
        </w:rPr>
        <w:t xml:space="preserve"> asked about </w:t>
      </w:r>
      <w:r w:rsidR="008B4F44" w:rsidRPr="00610C53">
        <w:rPr>
          <w:rFonts w:cs="Times New Roman"/>
          <w:lang w:val="en-GB"/>
        </w:rPr>
        <w:t xml:space="preserve">the </w:t>
      </w:r>
      <w:r w:rsidR="002F4EE8" w:rsidRPr="00610C53">
        <w:rPr>
          <w:rFonts w:cs="Times New Roman"/>
          <w:lang w:val="en-GB"/>
        </w:rPr>
        <w:t xml:space="preserve">system of </w:t>
      </w:r>
      <w:r w:rsidR="008B4F44" w:rsidRPr="00610C53">
        <w:rPr>
          <w:rFonts w:cs="Times New Roman"/>
          <w:lang w:val="en-GB"/>
        </w:rPr>
        <w:t>community care</w:t>
      </w:r>
      <w:r w:rsidR="003677F3" w:rsidRPr="00610C53">
        <w:rPr>
          <w:rFonts w:cs="Times New Roman"/>
          <w:lang w:val="en-GB"/>
        </w:rPr>
        <w:t xml:space="preserve"> </w:t>
      </w:r>
      <w:r w:rsidR="002F4EE8" w:rsidRPr="00610C53">
        <w:rPr>
          <w:rFonts w:cs="Times New Roman"/>
          <w:lang w:val="en-GB"/>
        </w:rPr>
        <w:t>and about the way</w:t>
      </w:r>
      <w:r w:rsidR="00F767B9" w:rsidRPr="00610C53">
        <w:rPr>
          <w:rFonts w:cs="Times New Roman"/>
          <w:lang w:val="en-GB"/>
        </w:rPr>
        <w:t>s</w:t>
      </w:r>
      <w:r w:rsidR="002F4EE8" w:rsidRPr="00610C53">
        <w:rPr>
          <w:rFonts w:cs="Times New Roman"/>
          <w:lang w:val="en-GB"/>
        </w:rPr>
        <w:t xml:space="preserve"> </w:t>
      </w:r>
      <w:r w:rsidR="00F767B9" w:rsidRPr="00610C53">
        <w:rPr>
          <w:rFonts w:cs="Times New Roman"/>
          <w:lang w:val="en-GB"/>
        </w:rPr>
        <w:t xml:space="preserve">in which </w:t>
      </w:r>
      <w:r w:rsidR="002F4EE8" w:rsidRPr="00610C53">
        <w:rPr>
          <w:rFonts w:cs="Times New Roman"/>
          <w:lang w:val="en-GB"/>
        </w:rPr>
        <w:t xml:space="preserve">they </w:t>
      </w:r>
      <w:r w:rsidRPr="00610C53">
        <w:rPr>
          <w:rFonts w:cs="Times New Roman"/>
          <w:lang w:val="en-GB"/>
        </w:rPr>
        <w:t xml:space="preserve">understand and implement the principles </w:t>
      </w:r>
      <w:r w:rsidR="00F767B9" w:rsidRPr="00610C53">
        <w:rPr>
          <w:rFonts w:cs="Times New Roman"/>
          <w:lang w:val="en-GB"/>
        </w:rPr>
        <w:t>for</w:t>
      </w:r>
      <w:r w:rsidRPr="00610C53">
        <w:rPr>
          <w:rFonts w:cs="Times New Roman"/>
          <w:lang w:val="en-GB"/>
        </w:rPr>
        <w:t xml:space="preserve"> supporting older pe</w:t>
      </w:r>
      <w:r w:rsidR="00F767B9" w:rsidRPr="00610C53">
        <w:rPr>
          <w:rFonts w:cs="Times New Roman"/>
          <w:lang w:val="en-GB"/>
        </w:rPr>
        <w:t xml:space="preserve">rsons based on their </w:t>
      </w:r>
      <w:r w:rsidRPr="00610C53">
        <w:rPr>
          <w:rFonts w:cs="Times New Roman"/>
          <w:lang w:val="en-GB"/>
        </w:rPr>
        <w:t xml:space="preserve">human rights, </w:t>
      </w:r>
      <w:r w:rsidR="003677F3" w:rsidRPr="00610C53">
        <w:rPr>
          <w:rFonts w:cs="Times New Roman"/>
          <w:lang w:val="en-GB"/>
        </w:rPr>
        <w:t xml:space="preserve">which principles have been draw up based on </w:t>
      </w:r>
      <w:r w:rsidRPr="00610C53">
        <w:rPr>
          <w:rFonts w:cs="Times New Roman"/>
          <w:lang w:val="en-GB"/>
        </w:rPr>
        <w:t>the UN documents: Resolution No</w:t>
      </w:r>
      <w:r w:rsidR="00F767B9" w:rsidRPr="00610C53">
        <w:rPr>
          <w:rFonts w:cs="Times New Roman"/>
          <w:lang w:val="en-GB"/>
        </w:rPr>
        <w:t>.</w:t>
      </w:r>
      <w:r w:rsidRPr="00610C53">
        <w:rPr>
          <w:rFonts w:cs="Times New Roman"/>
          <w:lang w:val="en-GB"/>
        </w:rPr>
        <w:t xml:space="preserve"> 46/91 of 1991 and the Madrid Plan of 2002</w:t>
      </w:r>
      <w:r w:rsidR="00DB66BA" w:rsidRPr="00610C53">
        <w:rPr>
          <w:rFonts w:cs="Times New Roman"/>
          <w:lang w:val="en-GB"/>
        </w:rPr>
        <w:t>:</w:t>
      </w:r>
      <w:r w:rsidR="005D057D" w:rsidRPr="00610C53">
        <w:rPr>
          <w:rFonts w:cs="Times New Roman"/>
          <w:lang w:val="en-GB"/>
        </w:rPr>
        <w:t xml:space="preserve"> </w:t>
      </w:r>
    </w:p>
    <w:p w:rsidR="00DB66BA" w:rsidRPr="00610C53" w:rsidRDefault="00DB66BA" w:rsidP="00DB66BA">
      <w:pPr>
        <w:ind w:left="284" w:hanging="284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t>1.</w:t>
      </w:r>
      <w:r w:rsidRPr="00610C53">
        <w:rPr>
          <w:rFonts w:cs="Times New Roman"/>
          <w:lang w:val="en-GB"/>
        </w:rPr>
        <w:tab/>
      </w:r>
      <w:r w:rsidRPr="00610C53">
        <w:rPr>
          <w:rFonts w:cs="Times New Roman"/>
          <w:b/>
          <w:lang w:val="en-GB"/>
        </w:rPr>
        <w:t>Ensuring</w:t>
      </w:r>
      <w:r w:rsidRPr="00610C53">
        <w:rPr>
          <w:rFonts w:cs="Times New Roman"/>
          <w:lang w:val="en-GB"/>
        </w:rPr>
        <w:t xml:space="preserve"> </w:t>
      </w:r>
      <w:r w:rsidR="0010072F" w:rsidRPr="00610C53">
        <w:rPr>
          <w:rFonts w:cs="Times New Roman"/>
          <w:lang w:val="en-GB"/>
        </w:rPr>
        <w:t>t</w:t>
      </w:r>
      <w:r w:rsidR="0062476A" w:rsidRPr="00610C53">
        <w:rPr>
          <w:rFonts w:cs="Times New Roman"/>
          <w:lang w:val="en-GB"/>
        </w:rPr>
        <w:t xml:space="preserve">hat </w:t>
      </w:r>
      <w:r w:rsidR="00CC4060" w:rsidRPr="00610C53">
        <w:rPr>
          <w:rFonts w:cs="Times New Roman"/>
          <w:lang w:val="en-GB"/>
        </w:rPr>
        <w:t>older</w:t>
      </w:r>
      <w:r w:rsidR="0010072F" w:rsidRPr="00610C53">
        <w:rPr>
          <w:rFonts w:cs="Times New Roman"/>
          <w:lang w:val="en-GB"/>
        </w:rPr>
        <w:t xml:space="preserve"> persons </w:t>
      </w:r>
      <w:r w:rsidR="00ED7547" w:rsidRPr="00610C53">
        <w:rPr>
          <w:rFonts w:cs="Times New Roman"/>
          <w:lang w:val="en-GB"/>
        </w:rPr>
        <w:t>with limited se</w:t>
      </w:r>
      <w:r w:rsidR="0010072F" w:rsidRPr="00610C53">
        <w:rPr>
          <w:rFonts w:cs="Times New Roman"/>
          <w:lang w:val="en-GB"/>
        </w:rPr>
        <w:t xml:space="preserve">lf-sufficiency </w:t>
      </w:r>
      <w:r w:rsidR="00957B5F" w:rsidRPr="00610C53">
        <w:rPr>
          <w:rFonts w:cs="Times New Roman"/>
          <w:lang w:val="en-GB"/>
        </w:rPr>
        <w:t xml:space="preserve">may enjoy independence and the </w:t>
      </w:r>
      <w:r w:rsidR="00957B5F" w:rsidRPr="00610C53">
        <w:rPr>
          <w:rFonts w:cs="Times New Roman"/>
          <w:b/>
          <w:lang w:val="en-GB"/>
        </w:rPr>
        <w:t xml:space="preserve">right to </w:t>
      </w:r>
      <w:r w:rsidR="0010072F" w:rsidRPr="00610C53">
        <w:rPr>
          <w:rFonts w:cs="Times New Roman"/>
          <w:b/>
          <w:lang w:val="en-GB"/>
        </w:rPr>
        <w:t xml:space="preserve">make decisions </w:t>
      </w:r>
      <w:r w:rsidR="00957B5F" w:rsidRPr="00610C53">
        <w:rPr>
          <w:rFonts w:cs="Times New Roman"/>
          <w:b/>
          <w:lang w:val="en-GB"/>
        </w:rPr>
        <w:t xml:space="preserve">regarding </w:t>
      </w:r>
      <w:r w:rsidR="0010072F" w:rsidRPr="00610C53">
        <w:rPr>
          <w:rFonts w:cs="Times New Roman"/>
          <w:b/>
          <w:lang w:val="en-GB"/>
        </w:rPr>
        <w:t>their own lives</w:t>
      </w:r>
      <w:r w:rsidRPr="00610C53">
        <w:rPr>
          <w:rFonts w:cs="Times New Roman"/>
          <w:lang w:val="en-GB"/>
        </w:rPr>
        <w:t xml:space="preserve">. </w:t>
      </w:r>
    </w:p>
    <w:p w:rsidR="00DB66BA" w:rsidRPr="00610C53" w:rsidRDefault="00DB66BA" w:rsidP="00DB66BA">
      <w:pPr>
        <w:ind w:left="284" w:hanging="284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t>2.</w:t>
      </w:r>
      <w:r w:rsidRPr="00610C53">
        <w:rPr>
          <w:rFonts w:cs="Times New Roman"/>
          <w:lang w:val="en-GB"/>
        </w:rPr>
        <w:tab/>
      </w:r>
      <w:r w:rsidR="00957B5F" w:rsidRPr="00610C53">
        <w:rPr>
          <w:rFonts w:cs="Times New Roman"/>
          <w:b/>
          <w:lang w:val="en-GB"/>
        </w:rPr>
        <w:t>Creation of conditions conducive to staying active</w:t>
      </w:r>
      <w:r w:rsidR="00ED7547" w:rsidRPr="00610C53">
        <w:rPr>
          <w:rFonts w:cs="Times New Roman"/>
          <w:lang w:val="en-GB"/>
        </w:rPr>
        <w:t>, a</w:t>
      </w:r>
      <w:r w:rsidR="00957B5F" w:rsidRPr="00610C53">
        <w:rPr>
          <w:rFonts w:cs="Times New Roman"/>
          <w:lang w:val="en-GB"/>
        </w:rPr>
        <w:t xml:space="preserve">ccording </w:t>
      </w:r>
      <w:r w:rsidR="00ED7547" w:rsidRPr="00610C53">
        <w:rPr>
          <w:rFonts w:cs="Times New Roman"/>
          <w:lang w:val="en-GB"/>
        </w:rPr>
        <w:t xml:space="preserve">to the </w:t>
      </w:r>
      <w:r w:rsidRPr="00610C53">
        <w:rPr>
          <w:rFonts w:cs="Times New Roman"/>
          <w:lang w:val="en-GB"/>
        </w:rPr>
        <w:t xml:space="preserve">different </w:t>
      </w:r>
      <w:r w:rsidR="00ED7547" w:rsidRPr="00610C53">
        <w:rPr>
          <w:rFonts w:cs="Times New Roman"/>
          <w:lang w:val="en-GB"/>
        </w:rPr>
        <w:t xml:space="preserve">ability levels of </w:t>
      </w:r>
      <w:r w:rsidR="00CC4060" w:rsidRPr="00610C53">
        <w:rPr>
          <w:rFonts w:cs="Times New Roman"/>
          <w:lang w:val="en-GB"/>
        </w:rPr>
        <w:t xml:space="preserve">older </w:t>
      </w:r>
      <w:r w:rsidR="00ED7547" w:rsidRPr="00610C53">
        <w:rPr>
          <w:rFonts w:cs="Times New Roman"/>
          <w:lang w:val="en-GB"/>
        </w:rPr>
        <w:t>persons</w:t>
      </w:r>
      <w:r w:rsidRPr="00610C53">
        <w:rPr>
          <w:rFonts w:cs="Times New Roman"/>
          <w:lang w:val="en-GB"/>
        </w:rPr>
        <w:t>.</w:t>
      </w:r>
    </w:p>
    <w:p w:rsidR="00DB66BA" w:rsidRPr="00610C53" w:rsidRDefault="00DB66BA" w:rsidP="00DB66BA">
      <w:pPr>
        <w:ind w:left="284" w:hanging="284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t>3.</w:t>
      </w:r>
      <w:r w:rsidRPr="00610C53">
        <w:rPr>
          <w:rFonts w:cs="Times New Roman"/>
          <w:lang w:val="en-GB"/>
        </w:rPr>
        <w:tab/>
      </w:r>
      <w:r w:rsidR="00ED7547" w:rsidRPr="00610C53">
        <w:rPr>
          <w:rFonts w:cs="Times New Roman"/>
          <w:b/>
          <w:lang w:val="en-GB"/>
        </w:rPr>
        <w:t>Develop</w:t>
      </w:r>
      <w:r w:rsidR="00957B5F" w:rsidRPr="00610C53">
        <w:rPr>
          <w:rFonts w:cs="Times New Roman"/>
          <w:b/>
          <w:lang w:val="en-GB"/>
        </w:rPr>
        <w:t>ment of a</w:t>
      </w:r>
      <w:r w:rsidR="00ED7547" w:rsidRPr="00610C53">
        <w:rPr>
          <w:rFonts w:cs="Times New Roman"/>
          <w:b/>
          <w:lang w:val="en-GB"/>
        </w:rPr>
        <w:t xml:space="preserve"> </w:t>
      </w:r>
      <w:r w:rsidRPr="00610C53">
        <w:rPr>
          <w:rFonts w:cs="Times New Roman"/>
          <w:b/>
          <w:lang w:val="en-GB"/>
        </w:rPr>
        <w:t>support system</w:t>
      </w:r>
      <w:r w:rsidR="00957B5F" w:rsidRPr="00610C53">
        <w:rPr>
          <w:rFonts w:cs="Times New Roman"/>
          <w:b/>
          <w:lang w:val="en-GB"/>
        </w:rPr>
        <w:t xml:space="preserve"> that would take </w:t>
      </w:r>
      <w:r w:rsidRPr="00610C53">
        <w:rPr>
          <w:rFonts w:cs="Times New Roman"/>
          <w:b/>
          <w:lang w:val="en-GB"/>
        </w:rPr>
        <w:t xml:space="preserve">into account </w:t>
      </w:r>
      <w:r w:rsidR="00957B5F" w:rsidRPr="00610C53">
        <w:rPr>
          <w:rFonts w:cs="Times New Roman"/>
          <w:b/>
          <w:lang w:val="en-GB"/>
        </w:rPr>
        <w:t xml:space="preserve">various levels of dependence of </w:t>
      </w:r>
      <w:r w:rsidR="009E3D2B" w:rsidRPr="00610C53">
        <w:rPr>
          <w:rFonts w:cs="Times New Roman"/>
          <w:b/>
          <w:lang w:val="en-GB"/>
        </w:rPr>
        <w:t>older persons</w:t>
      </w:r>
      <w:r w:rsidR="00957B5F" w:rsidRPr="00610C53">
        <w:rPr>
          <w:rFonts w:cs="Times New Roman"/>
          <w:lang w:val="en-GB"/>
        </w:rPr>
        <w:t>,</w:t>
      </w:r>
      <w:r w:rsidR="00957B5F" w:rsidRPr="00610C53">
        <w:rPr>
          <w:rFonts w:cs="Times New Roman"/>
          <w:b/>
          <w:lang w:val="en-GB"/>
        </w:rPr>
        <w:t xml:space="preserve"> </w:t>
      </w:r>
      <w:r w:rsidR="00957B5F" w:rsidRPr="00610C53">
        <w:rPr>
          <w:rFonts w:cs="Times New Roman"/>
          <w:lang w:val="en-GB"/>
        </w:rPr>
        <w:t xml:space="preserve">and the changing nature of this characteristic – i.e. growing reliance on others with the person’s age. </w:t>
      </w:r>
    </w:p>
    <w:p w:rsidR="00DB66BA" w:rsidRPr="00610C53" w:rsidRDefault="00DB66BA" w:rsidP="00DB66BA">
      <w:pPr>
        <w:ind w:left="284" w:hanging="284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t>4.</w:t>
      </w:r>
      <w:r w:rsidRPr="00610C53">
        <w:rPr>
          <w:rFonts w:cs="Times New Roman"/>
          <w:lang w:val="en-GB"/>
        </w:rPr>
        <w:tab/>
      </w:r>
      <w:r w:rsidRPr="00610C53">
        <w:rPr>
          <w:rFonts w:cs="Times New Roman"/>
          <w:b/>
          <w:lang w:val="en-GB"/>
        </w:rPr>
        <w:t>Consult</w:t>
      </w:r>
      <w:r w:rsidR="00BA48AE" w:rsidRPr="00610C53">
        <w:rPr>
          <w:rFonts w:cs="Times New Roman"/>
          <w:b/>
          <w:lang w:val="en-GB"/>
        </w:rPr>
        <w:t xml:space="preserve">ing </w:t>
      </w:r>
      <w:r w:rsidR="00957B5F" w:rsidRPr="00610C53">
        <w:rPr>
          <w:rFonts w:cs="Times New Roman"/>
          <w:b/>
          <w:lang w:val="en-GB"/>
        </w:rPr>
        <w:t xml:space="preserve">solutions in the field of </w:t>
      </w:r>
      <w:r w:rsidRPr="00610C53">
        <w:rPr>
          <w:rFonts w:cs="Times New Roman"/>
          <w:b/>
          <w:lang w:val="en-GB"/>
        </w:rPr>
        <w:t xml:space="preserve">community support </w:t>
      </w:r>
      <w:r w:rsidR="00BA48AE" w:rsidRPr="00610C53">
        <w:rPr>
          <w:rFonts w:cs="Times New Roman"/>
          <w:b/>
          <w:lang w:val="en-GB"/>
        </w:rPr>
        <w:t>with the elderly</w:t>
      </w:r>
      <w:r w:rsidRPr="00610C53">
        <w:rPr>
          <w:rFonts w:cs="Times New Roman"/>
          <w:lang w:val="en-GB"/>
        </w:rPr>
        <w:t>.</w:t>
      </w:r>
      <w:r w:rsidR="0041731B" w:rsidRPr="00610C53">
        <w:rPr>
          <w:rFonts w:cs="Times New Roman"/>
          <w:lang w:val="en-GB"/>
        </w:rPr>
        <w:t xml:space="preserve"> </w:t>
      </w:r>
    </w:p>
    <w:p w:rsidR="00DB66BA" w:rsidRPr="00610C53" w:rsidRDefault="00DB66BA" w:rsidP="00DB66BA">
      <w:pPr>
        <w:ind w:left="284" w:hanging="284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t>5.</w:t>
      </w:r>
      <w:r w:rsidRPr="00610C53">
        <w:rPr>
          <w:rFonts w:cs="Times New Roman"/>
          <w:lang w:val="en-GB"/>
        </w:rPr>
        <w:tab/>
      </w:r>
      <w:r w:rsidR="00CC4060" w:rsidRPr="00610C53">
        <w:rPr>
          <w:rFonts w:cs="Times New Roman"/>
          <w:b/>
          <w:lang w:val="en-GB"/>
        </w:rPr>
        <w:t>Multi-sectoral approach</w:t>
      </w:r>
      <w:r w:rsidR="0044340D" w:rsidRPr="00610C53">
        <w:rPr>
          <w:rFonts w:cs="Times New Roman"/>
          <w:lang w:val="en-GB"/>
        </w:rPr>
        <w:t xml:space="preserve">: involving </w:t>
      </w:r>
      <w:r w:rsidR="009764DB" w:rsidRPr="00610C53">
        <w:rPr>
          <w:rFonts w:cs="Times New Roman"/>
          <w:lang w:val="en-GB"/>
        </w:rPr>
        <w:t xml:space="preserve">the </w:t>
      </w:r>
      <w:r w:rsidRPr="00610C53">
        <w:rPr>
          <w:rFonts w:cs="Times New Roman"/>
          <w:lang w:val="en-GB"/>
        </w:rPr>
        <w:t>public</w:t>
      </w:r>
      <w:r w:rsidR="0044340D" w:rsidRPr="00610C53">
        <w:rPr>
          <w:rFonts w:cs="Times New Roman"/>
          <w:lang w:val="en-GB"/>
        </w:rPr>
        <w:t xml:space="preserve"> sector</w:t>
      </w:r>
      <w:r w:rsidRPr="00610C53">
        <w:rPr>
          <w:rFonts w:cs="Times New Roman"/>
          <w:lang w:val="en-GB"/>
        </w:rPr>
        <w:t xml:space="preserve">, </w:t>
      </w:r>
      <w:r w:rsidR="009764DB" w:rsidRPr="00610C53">
        <w:rPr>
          <w:rFonts w:cs="Times New Roman"/>
          <w:lang w:val="en-GB"/>
        </w:rPr>
        <w:t>market</w:t>
      </w:r>
      <w:r w:rsidR="0044340D" w:rsidRPr="00610C53">
        <w:rPr>
          <w:rFonts w:cs="Times New Roman"/>
          <w:lang w:val="en-GB"/>
        </w:rPr>
        <w:t xml:space="preserve"> sector as well as the civic and informal sectors</w:t>
      </w:r>
      <w:r w:rsidRPr="00610C53">
        <w:rPr>
          <w:rFonts w:cs="Times New Roman"/>
          <w:lang w:val="en-GB"/>
        </w:rPr>
        <w:t xml:space="preserve">. </w:t>
      </w:r>
    </w:p>
    <w:p w:rsidR="00DB66BA" w:rsidRPr="00610C53" w:rsidRDefault="00DB66BA" w:rsidP="00DB66BA">
      <w:pPr>
        <w:ind w:left="284" w:hanging="284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t>6.</w:t>
      </w:r>
      <w:r w:rsidRPr="00610C53">
        <w:rPr>
          <w:rFonts w:cs="Times New Roman"/>
          <w:lang w:val="en-GB"/>
        </w:rPr>
        <w:tab/>
      </w:r>
      <w:r w:rsidR="00957B5F" w:rsidRPr="00610C53">
        <w:rPr>
          <w:rFonts w:cs="Times New Roman"/>
          <w:lang w:val="en-GB"/>
        </w:rPr>
        <w:t>Inclusion of activities contributing to the provision of community support to seniors to all actions undertaken at the local level (</w:t>
      </w:r>
      <w:r w:rsidR="00957B5F" w:rsidRPr="00610C53">
        <w:rPr>
          <w:rFonts w:cs="Times New Roman"/>
          <w:b/>
          <w:lang w:val="en-GB"/>
        </w:rPr>
        <w:t>m</w:t>
      </w:r>
      <w:r w:rsidR="009764DB" w:rsidRPr="00610C53">
        <w:rPr>
          <w:rFonts w:cs="Times New Roman"/>
          <w:b/>
          <w:lang w:val="en-GB"/>
        </w:rPr>
        <w:t>ainstreaming aging</w:t>
      </w:r>
      <w:r w:rsidR="00957B5F" w:rsidRPr="00610C53">
        <w:rPr>
          <w:rFonts w:cs="Times New Roman"/>
          <w:b/>
          <w:lang w:val="en-GB"/>
        </w:rPr>
        <w:t>)</w:t>
      </w:r>
      <w:r w:rsidRPr="00610C53">
        <w:rPr>
          <w:rFonts w:cs="Times New Roman"/>
          <w:lang w:val="en-GB"/>
        </w:rPr>
        <w:t xml:space="preserve">. </w:t>
      </w:r>
    </w:p>
    <w:p w:rsidR="00DB66BA" w:rsidRPr="00610C53" w:rsidRDefault="00DB66BA" w:rsidP="00DB66BA">
      <w:pPr>
        <w:ind w:left="284" w:hanging="284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t>7.</w:t>
      </w:r>
      <w:r w:rsidRPr="00610C53">
        <w:rPr>
          <w:rFonts w:cs="Times New Roman"/>
          <w:lang w:val="en-GB"/>
        </w:rPr>
        <w:tab/>
      </w:r>
      <w:r w:rsidR="00957B5F" w:rsidRPr="00610C53">
        <w:rPr>
          <w:rFonts w:cs="Times New Roman"/>
          <w:b/>
          <w:lang w:val="en-GB"/>
        </w:rPr>
        <w:t>Evaluation</w:t>
      </w:r>
      <w:r w:rsidRPr="00610C53">
        <w:rPr>
          <w:rFonts w:cs="Times New Roman"/>
          <w:b/>
          <w:lang w:val="en-GB"/>
        </w:rPr>
        <w:t xml:space="preserve"> of </w:t>
      </w:r>
      <w:r w:rsidR="00C60532" w:rsidRPr="00610C53">
        <w:rPr>
          <w:rFonts w:cs="Times New Roman"/>
          <w:b/>
          <w:lang w:val="en-GB"/>
        </w:rPr>
        <w:t>activities</w:t>
      </w:r>
      <w:r w:rsidR="00C60532" w:rsidRPr="00610C53">
        <w:rPr>
          <w:rFonts w:cs="Times New Roman"/>
          <w:lang w:val="en-GB"/>
        </w:rPr>
        <w:t xml:space="preserve">, at the </w:t>
      </w:r>
      <w:r w:rsidRPr="00610C53">
        <w:rPr>
          <w:rFonts w:cs="Times New Roman"/>
          <w:lang w:val="en-GB"/>
        </w:rPr>
        <w:t>design and implementation stage</w:t>
      </w:r>
      <w:r w:rsidR="00C60532" w:rsidRPr="00610C53">
        <w:rPr>
          <w:rFonts w:cs="Times New Roman"/>
          <w:lang w:val="en-GB"/>
        </w:rPr>
        <w:t>,</w:t>
      </w:r>
      <w:r w:rsidR="00AF0D3A" w:rsidRPr="00610C53">
        <w:rPr>
          <w:rFonts w:cs="Times New Roman"/>
          <w:lang w:val="en-GB"/>
        </w:rPr>
        <w:t xml:space="preserve"> </w:t>
      </w:r>
      <w:r w:rsidR="00AF0D3A" w:rsidRPr="00610C53">
        <w:rPr>
          <w:rFonts w:cs="Times New Roman"/>
          <w:b/>
          <w:lang w:val="en-GB"/>
        </w:rPr>
        <w:t xml:space="preserve">from the point of the </w:t>
      </w:r>
      <w:r w:rsidRPr="00610C53">
        <w:rPr>
          <w:rFonts w:cs="Times New Roman"/>
          <w:b/>
          <w:lang w:val="en-GB"/>
        </w:rPr>
        <w:t>risk of discriminatory practices</w:t>
      </w:r>
      <w:r w:rsidRPr="00610C53">
        <w:rPr>
          <w:rFonts w:cs="Times New Roman"/>
          <w:lang w:val="en-GB"/>
        </w:rPr>
        <w:t xml:space="preserve">. </w:t>
      </w:r>
    </w:p>
    <w:p w:rsidR="00DB66BA" w:rsidRPr="00610C53" w:rsidRDefault="00DB66BA" w:rsidP="00DB66BA">
      <w:pPr>
        <w:ind w:left="284" w:hanging="284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t>8.</w:t>
      </w:r>
      <w:r w:rsidRPr="00610C53">
        <w:rPr>
          <w:rFonts w:cs="Times New Roman"/>
          <w:lang w:val="en-GB"/>
        </w:rPr>
        <w:tab/>
      </w:r>
      <w:r w:rsidR="00957B5F" w:rsidRPr="00610C53">
        <w:rPr>
          <w:rFonts w:cs="Times New Roman"/>
          <w:b/>
          <w:lang w:val="en-GB"/>
        </w:rPr>
        <w:t>Subsidiarity</w:t>
      </w:r>
      <w:r w:rsidR="00957B5F" w:rsidRPr="00610C53">
        <w:rPr>
          <w:rFonts w:cs="Times New Roman"/>
          <w:lang w:val="en-GB"/>
        </w:rPr>
        <w:t xml:space="preserve"> manifested by providing support to basic communities (mainly families) of the elderly – supporting informal caregivers of dependent persons</w:t>
      </w:r>
    </w:p>
    <w:p w:rsidR="00DB66BA" w:rsidRPr="00610C53" w:rsidRDefault="00DB66BA" w:rsidP="00DB66BA">
      <w:pPr>
        <w:ind w:left="284" w:hanging="284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lastRenderedPageBreak/>
        <w:t>9.</w:t>
      </w:r>
      <w:r w:rsidRPr="00610C53">
        <w:rPr>
          <w:rFonts w:cs="Times New Roman"/>
          <w:lang w:val="en-GB"/>
        </w:rPr>
        <w:tab/>
      </w:r>
      <w:r w:rsidRPr="00610C53">
        <w:rPr>
          <w:rFonts w:cs="Times New Roman"/>
          <w:b/>
          <w:lang w:val="en-GB"/>
        </w:rPr>
        <w:t>Comprehensive approach to the needs</w:t>
      </w:r>
      <w:r w:rsidRPr="00610C53">
        <w:rPr>
          <w:rFonts w:cs="Times New Roman"/>
          <w:lang w:val="en-GB"/>
        </w:rPr>
        <w:t xml:space="preserve"> of individual seniors</w:t>
      </w:r>
      <w:r w:rsidR="00BA48AE" w:rsidRPr="00610C53">
        <w:rPr>
          <w:rFonts w:cs="Times New Roman"/>
          <w:lang w:val="en-GB"/>
        </w:rPr>
        <w:t>,</w:t>
      </w:r>
      <w:r w:rsidRPr="00610C53">
        <w:rPr>
          <w:rFonts w:cs="Times New Roman"/>
          <w:lang w:val="en-GB"/>
        </w:rPr>
        <w:t xml:space="preserve"> and </w:t>
      </w:r>
      <w:r w:rsidR="00F35E3D" w:rsidRPr="00610C53">
        <w:rPr>
          <w:rFonts w:cs="Times New Roman"/>
          <w:lang w:val="en-GB"/>
        </w:rPr>
        <w:t xml:space="preserve">the </w:t>
      </w:r>
      <w:r w:rsidRPr="00610C53">
        <w:rPr>
          <w:rFonts w:cs="Times New Roman"/>
          <w:lang w:val="en-GB"/>
        </w:rPr>
        <w:t xml:space="preserve">coordination of </w:t>
      </w:r>
      <w:r w:rsidR="00F35E3D" w:rsidRPr="00610C53">
        <w:rPr>
          <w:rFonts w:cs="Times New Roman"/>
          <w:lang w:val="en-GB"/>
        </w:rPr>
        <w:t xml:space="preserve">provided </w:t>
      </w:r>
      <w:r w:rsidR="00453122" w:rsidRPr="00610C53">
        <w:rPr>
          <w:rFonts w:cs="Times New Roman"/>
          <w:lang w:val="en-GB"/>
        </w:rPr>
        <w:t>support</w:t>
      </w:r>
      <w:r w:rsidRPr="00610C53">
        <w:rPr>
          <w:rFonts w:cs="Times New Roman"/>
          <w:lang w:val="en-GB"/>
        </w:rPr>
        <w:t xml:space="preserve">. </w:t>
      </w:r>
    </w:p>
    <w:p w:rsidR="006E5A94" w:rsidRPr="00610C53" w:rsidRDefault="00453122" w:rsidP="00DB66BA">
      <w:pPr>
        <w:ind w:left="284" w:hanging="284"/>
        <w:rPr>
          <w:rFonts w:cs="Times New Roman"/>
          <w:lang w:val="en-GB"/>
        </w:rPr>
      </w:pPr>
      <w:r w:rsidRPr="00610C53">
        <w:rPr>
          <w:rFonts w:cs="Times New Roman"/>
          <w:lang w:val="en-GB"/>
        </w:rPr>
        <w:t>10.</w:t>
      </w:r>
      <w:r w:rsidRPr="00610C53">
        <w:rPr>
          <w:rFonts w:cs="Times New Roman"/>
          <w:lang w:val="en-GB"/>
        </w:rPr>
        <w:tab/>
      </w:r>
      <w:r w:rsidRPr="00610C53">
        <w:rPr>
          <w:rFonts w:cs="Times New Roman"/>
          <w:b/>
          <w:lang w:val="en-GB"/>
        </w:rPr>
        <w:t>Professionalization</w:t>
      </w:r>
      <w:r w:rsidRPr="00610C53">
        <w:rPr>
          <w:rFonts w:cs="Times New Roman"/>
          <w:lang w:val="en-GB"/>
        </w:rPr>
        <w:t xml:space="preserve"> </w:t>
      </w:r>
      <w:r w:rsidR="00F35E3D" w:rsidRPr="00610C53">
        <w:rPr>
          <w:rFonts w:cs="Times New Roman"/>
          <w:lang w:val="en-GB"/>
        </w:rPr>
        <w:t>of social support, understood as entrusting the provision of the support to competent and well-prepared individuals</w:t>
      </w:r>
      <w:r w:rsidR="00DB66BA" w:rsidRPr="00610C53">
        <w:rPr>
          <w:rFonts w:cs="Times New Roman"/>
          <w:lang w:val="en-GB"/>
        </w:rPr>
        <w:t>.</w:t>
      </w:r>
      <w:r w:rsidRPr="00610C53">
        <w:rPr>
          <w:rFonts w:cs="Times New Roman"/>
          <w:lang w:val="en-GB"/>
        </w:rPr>
        <w:t xml:space="preserve"> </w:t>
      </w:r>
    </w:p>
    <w:p w:rsidR="004F40C2" w:rsidRPr="00610C53" w:rsidRDefault="00453122" w:rsidP="004F40C2">
      <w:pPr>
        <w:jc w:val="both"/>
        <w:rPr>
          <w:b/>
          <w:lang w:val="en-GB"/>
        </w:rPr>
      </w:pPr>
      <w:r w:rsidRPr="00610C53">
        <w:rPr>
          <w:b/>
          <w:lang w:val="en-GB"/>
        </w:rPr>
        <w:t>Main</w:t>
      </w:r>
      <w:r w:rsidR="00201045" w:rsidRPr="00610C53">
        <w:rPr>
          <w:b/>
          <w:lang w:val="en-GB"/>
        </w:rPr>
        <w:t xml:space="preserve"> conclusions from the </w:t>
      </w:r>
      <w:r w:rsidRPr="00610C53">
        <w:rPr>
          <w:b/>
          <w:lang w:val="en-GB"/>
        </w:rPr>
        <w:t>CHR’s survey</w:t>
      </w:r>
      <w:r w:rsidR="00201045" w:rsidRPr="00610C53">
        <w:rPr>
          <w:rFonts w:cs="Times New Roman"/>
          <w:b/>
          <w:lang w:val="en-GB"/>
        </w:rPr>
        <w:t xml:space="preserve"> </w:t>
      </w:r>
    </w:p>
    <w:p w:rsidR="008C3FF8" w:rsidRPr="00610C53" w:rsidRDefault="00BA48AE" w:rsidP="008C3FF8">
      <w:pPr>
        <w:pStyle w:val="Akapitzlist"/>
        <w:numPr>
          <w:ilvl w:val="0"/>
          <w:numId w:val="4"/>
        </w:numPr>
        <w:jc w:val="both"/>
        <w:rPr>
          <w:lang w:val="en-GB"/>
        </w:rPr>
      </w:pPr>
      <w:r w:rsidRPr="00610C53">
        <w:rPr>
          <w:lang w:val="en-GB"/>
        </w:rPr>
        <w:t>Municipalities</w:t>
      </w:r>
      <w:r w:rsidR="008C3FF8" w:rsidRPr="00610C53">
        <w:rPr>
          <w:lang w:val="en-GB"/>
        </w:rPr>
        <w:t xml:space="preserve"> generally do not develop strategic </w:t>
      </w:r>
      <w:r w:rsidRPr="00610C53">
        <w:rPr>
          <w:lang w:val="en-GB"/>
        </w:rPr>
        <w:t>documents relating to senior policy</w:t>
      </w:r>
      <w:r w:rsidR="008C3FF8" w:rsidRPr="00610C53">
        <w:rPr>
          <w:lang w:val="en-GB"/>
        </w:rPr>
        <w:t xml:space="preserve">. </w:t>
      </w:r>
      <w:r w:rsidR="00781B7C" w:rsidRPr="00610C53">
        <w:rPr>
          <w:rFonts w:cs="Times New Roman"/>
          <w:b/>
          <w:lang w:val="en-GB"/>
        </w:rPr>
        <w:t>Almost one third of municipalities do not discuss the issue in their strategic documents</w:t>
      </w:r>
      <w:r w:rsidR="008C3FF8" w:rsidRPr="00610C53">
        <w:rPr>
          <w:lang w:val="en-GB"/>
        </w:rPr>
        <w:t>.</w:t>
      </w:r>
    </w:p>
    <w:p w:rsidR="008C3FF8" w:rsidRPr="00610C53" w:rsidRDefault="008C3FF8" w:rsidP="008C3FF8">
      <w:pPr>
        <w:pStyle w:val="Akapitzlist"/>
        <w:numPr>
          <w:ilvl w:val="0"/>
          <w:numId w:val="4"/>
        </w:numPr>
        <w:jc w:val="both"/>
        <w:rPr>
          <w:lang w:val="en-GB"/>
        </w:rPr>
      </w:pPr>
      <w:r w:rsidRPr="00610C53">
        <w:rPr>
          <w:lang w:val="en-GB"/>
        </w:rPr>
        <w:t xml:space="preserve">As a result, </w:t>
      </w:r>
      <w:r w:rsidR="00781B7C" w:rsidRPr="00610C53">
        <w:rPr>
          <w:lang w:val="en-GB"/>
        </w:rPr>
        <w:t xml:space="preserve">the </w:t>
      </w:r>
      <w:r w:rsidRPr="00610C53">
        <w:rPr>
          <w:lang w:val="en-GB"/>
        </w:rPr>
        <w:t xml:space="preserve">services are </w:t>
      </w:r>
      <w:r w:rsidR="00781B7C" w:rsidRPr="00610C53">
        <w:rPr>
          <w:lang w:val="en-GB"/>
        </w:rPr>
        <w:t>provided</w:t>
      </w:r>
      <w:r w:rsidRPr="00610C53">
        <w:rPr>
          <w:lang w:val="en-GB"/>
        </w:rPr>
        <w:t xml:space="preserve"> on an ad hoc basis. Municipalities </w:t>
      </w:r>
      <w:r w:rsidR="00781B7C" w:rsidRPr="00610C53">
        <w:rPr>
          <w:b/>
          <w:lang w:val="en-GB"/>
        </w:rPr>
        <w:t xml:space="preserve">fail to plan and adjust the </w:t>
      </w:r>
      <w:r w:rsidRPr="00610C53">
        <w:rPr>
          <w:b/>
          <w:lang w:val="en-GB"/>
        </w:rPr>
        <w:t xml:space="preserve">offer to the growing population of </w:t>
      </w:r>
      <w:r w:rsidR="00781B7C" w:rsidRPr="00610C53">
        <w:rPr>
          <w:b/>
          <w:lang w:val="en-GB"/>
        </w:rPr>
        <w:t>the elderly</w:t>
      </w:r>
      <w:r w:rsidRPr="00610C53">
        <w:rPr>
          <w:lang w:val="en-GB"/>
        </w:rPr>
        <w:t xml:space="preserve">. </w:t>
      </w:r>
      <w:r w:rsidR="006E1EF6" w:rsidRPr="00610C53">
        <w:rPr>
          <w:lang w:val="en-GB"/>
        </w:rPr>
        <w:t xml:space="preserve">In only </w:t>
      </w:r>
      <w:r w:rsidRPr="00610C53">
        <w:rPr>
          <w:lang w:val="en-GB"/>
        </w:rPr>
        <w:t xml:space="preserve">40% of </w:t>
      </w:r>
      <w:r w:rsidR="006E1EF6" w:rsidRPr="00610C53">
        <w:rPr>
          <w:lang w:val="en-GB"/>
        </w:rPr>
        <w:t xml:space="preserve">municipalities, </w:t>
      </w:r>
      <w:r w:rsidR="001D687A" w:rsidRPr="00610C53">
        <w:rPr>
          <w:lang w:val="en-GB"/>
        </w:rPr>
        <w:t>care</w:t>
      </w:r>
      <w:r w:rsidRPr="00610C53">
        <w:rPr>
          <w:lang w:val="en-GB"/>
        </w:rPr>
        <w:t xml:space="preserve"> institution</w:t>
      </w:r>
      <w:r w:rsidR="006E1EF6" w:rsidRPr="00610C53">
        <w:rPr>
          <w:lang w:val="en-GB"/>
        </w:rPr>
        <w:t xml:space="preserve"> reports are </w:t>
      </w:r>
      <w:r w:rsidR="007768F4" w:rsidRPr="00610C53">
        <w:rPr>
          <w:lang w:val="en-GB"/>
        </w:rPr>
        <w:t>analysed</w:t>
      </w:r>
      <w:r w:rsidRPr="00610C53">
        <w:rPr>
          <w:lang w:val="en-GB"/>
        </w:rPr>
        <w:t xml:space="preserve">, </w:t>
      </w:r>
      <w:r w:rsidR="001D687A" w:rsidRPr="00610C53">
        <w:rPr>
          <w:lang w:val="en-GB"/>
        </w:rPr>
        <w:t xml:space="preserve">while </w:t>
      </w:r>
      <w:r w:rsidRPr="00610C53">
        <w:rPr>
          <w:lang w:val="en-GB"/>
        </w:rPr>
        <w:t xml:space="preserve">76% </w:t>
      </w:r>
      <w:r w:rsidR="006E1EF6" w:rsidRPr="00610C53">
        <w:rPr>
          <w:lang w:val="en-GB"/>
        </w:rPr>
        <w:t xml:space="preserve">municipalities </w:t>
      </w:r>
      <w:r w:rsidRPr="00610C53">
        <w:rPr>
          <w:lang w:val="en-GB"/>
        </w:rPr>
        <w:t xml:space="preserve">declare </w:t>
      </w:r>
      <w:r w:rsidR="006E1EF6" w:rsidRPr="00610C53">
        <w:rPr>
          <w:lang w:val="en-GB"/>
        </w:rPr>
        <w:t xml:space="preserve">they </w:t>
      </w:r>
      <w:r w:rsidR="007768F4" w:rsidRPr="00610C53">
        <w:rPr>
          <w:lang w:val="en-GB"/>
        </w:rPr>
        <w:t>analyse</w:t>
      </w:r>
      <w:r w:rsidR="001D687A" w:rsidRPr="00610C53">
        <w:rPr>
          <w:lang w:val="en-GB"/>
        </w:rPr>
        <w:t xml:space="preserve"> </w:t>
      </w:r>
      <w:r w:rsidR="006E1EF6" w:rsidRPr="00610C53">
        <w:rPr>
          <w:lang w:val="en-GB"/>
        </w:rPr>
        <w:t xml:space="preserve">solely </w:t>
      </w:r>
      <w:r w:rsidRPr="00610C53">
        <w:rPr>
          <w:lang w:val="en-GB"/>
        </w:rPr>
        <w:t xml:space="preserve">statistical </w:t>
      </w:r>
      <w:r w:rsidR="001D687A" w:rsidRPr="00610C53">
        <w:rPr>
          <w:lang w:val="en-GB"/>
        </w:rPr>
        <w:t>data</w:t>
      </w:r>
      <w:r w:rsidRPr="00610C53">
        <w:rPr>
          <w:lang w:val="en-GB"/>
        </w:rPr>
        <w:t xml:space="preserve">. </w:t>
      </w:r>
      <w:r w:rsidR="001D687A" w:rsidRPr="00610C53">
        <w:rPr>
          <w:b/>
          <w:lang w:val="en-GB"/>
        </w:rPr>
        <w:t>In three of four</w:t>
      </w:r>
      <w:r w:rsidRPr="00610C53">
        <w:rPr>
          <w:b/>
          <w:lang w:val="en-GB"/>
        </w:rPr>
        <w:t xml:space="preserve"> municipalities</w:t>
      </w:r>
      <w:r w:rsidR="001D687A" w:rsidRPr="00610C53">
        <w:rPr>
          <w:b/>
          <w:lang w:val="en-GB"/>
        </w:rPr>
        <w:t xml:space="preserve">, </w:t>
      </w:r>
      <w:r w:rsidRPr="00610C53">
        <w:rPr>
          <w:b/>
          <w:lang w:val="en-GB"/>
        </w:rPr>
        <w:t xml:space="preserve">respondents acknowledged </w:t>
      </w:r>
      <w:r w:rsidR="001D687A" w:rsidRPr="00610C53">
        <w:rPr>
          <w:b/>
          <w:lang w:val="en-GB"/>
        </w:rPr>
        <w:t xml:space="preserve">the existence of </w:t>
      </w:r>
      <w:r w:rsidRPr="00610C53">
        <w:rPr>
          <w:b/>
          <w:lang w:val="en-GB"/>
        </w:rPr>
        <w:t>groups of pe</w:t>
      </w:r>
      <w:r w:rsidR="002700A5" w:rsidRPr="00610C53">
        <w:rPr>
          <w:b/>
          <w:lang w:val="en-GB"/>
        </w:rPr>
        <w:t xml:space="preserve">rsons </w:t>
      </w:r>
      <w:r w:rsidRPr="00610C53">
        <w:rPr>
          <w:b/>
          <w:lang w:val="en-GB"/>
        </w:rPr>
        <w:t>who may have difficult</w:t>
      </w:r>
      <w:r w:rsidR="001D687A" w:rsidRPr="00610C53">
        <w:rPr>
          <w:b/>
          <w:lang w:val="en-GB"/>
        </w:rPr>
        <w:t xml:space="preserve">ies in </w:t>
      </w:r>
      <w:r w:rsidR="006E1EF6" w:rsidRPr="00610C53">
        <w:rPr>
          <w:b/>
          <w:lang w:val="en-GB"/>
        </w:rPr>
        <w:t>access to support services in one's local community</w:t>
      </w:r>
      <w:r w:rsidR="006E1EF6" w:rsidRPr="00610C53">
        <w:rPr>
          <w:lang w:val="en-GB"/>
        </w:rPr>
        <w:t xml:space="preserve"> </w:t>
      </w:r>
      <w:r w:rsidR="0062476A" w:rsidRPr="00610C53">
        <w:rPr>
          <w:b/>
          <w:lang w:val="en-GB"/>
        </w:rPr>
        <w:t xml:space="preserve">(including persons </w:t>
      </w:r>
      <w:r w:rsidR="002D4A5B" w:rsidRPr="00610C53">
        <w:rPr>
          <w:b/>
          <w:lang w:val="en-GB"/>
        </w:rPr>
        <w:t xml:space="preserve">whose self-sufficiency is limited due to </w:t>
      </w:r>
      <w:r w:rsidRPr="00610C53">
        <w:rPr>
          <w:b/>
          <w:lang w:val="en-GB"/>
        </w:rPr>
        <w:t xml:space="preserve">motor </w:t>
      </w:r>
      <w:r w:rsidR="002D4A5B" w:rsidRPr="00610C53">
        <w:rPr>
          <w:b/>
          <w:lang w:val="en-GB"/>
        </w:rPr>
        <w:t xml:space="preserve">skills </w:t>
      </w:r>
      <w:r w:rsidRPr="00610C53">
        <w:rPr>
          <w:b/>
          <w:lang w:val="en-GB"/>
        </w:rPr>
        <w:t>problems, dementia and other</w:t>
      </w:r>
      <w:r w:rsidR="002D4A5B" w:rsidRPr="00610C53">
        <w:rPr>
          <w:b/>
          <w:lang w:val="en-GB"/>
        </w:rPr>
        <w:t xml:space="preserve"> illnesses). </w:t>
      </w:r>
    </w:p>
    <w:p w:rsidR="004F40C2" w:rsidRPr="00610C53" w:rsidRDefault="008C3FF8" w:rsidP="008C3FF8">
      <w:pPr>
        <w:pStyle w:val="Akapitzlist"/>
        <w:numPr>
          <w:ilvl w:val="0"/>
          <w:numId w:val="4"/>
        </w:numPr>
        <w:jc w:val="both"/>
        <w:rPr>
          <w:lang w:val="en-GB"/>
        </w:rPr>
      </w:pPr>
      <w:r w:rsidRPr="00610C53">
        <w:rPr>
          <w:lang w:val="en-GB"/>
        </w:rPr>
        <w:t>Many of the</w:t>
      </w:r>
      <w:r w:rsidR="002D4A5B" w:rsidRPr="00610C53">
        <w:rPr>
          <w:lang w:val="en-GB"/>
        </w:rPr>
        <w:t xml:space="preserve"> above-mentioned </w:t>
      </w:r>
      <w:r w:rsidRPr="00610C53">
        <w:rPr>
          <w:lang w:val="en-GB"/>
        </w:rPr>
        <w:t xml:space="preserve">principles are intuitively </w:t>
      </w:r>
      <w:r w:rsidR="002D4A5B" w:rsidRPr="00610C53">
        <w:rPr>
          <w:lang w:val="en-GB"/>
        </w:rPr>
        <w:t>observed</w:t>
      </w:r>
      <w:r w:rsidRPr="00610C53">
        <w:rPr>
          <w:lang w:val="en-GB"/>
        </w:rPr>
        <w:t xml:space="preserve">. However, </w:t>
      </w:r>
      <w:r w:rsidR="002D4A5B" w:rsidRPr="00610C53">
        <w:rPr>
          <w:lang w:val="en-GB"/>
        </w:rPr>
        <w:t xml:space="preserve">looking </w:t>
      </w:r>
      <w:r w:rsidRPr="00610C53">
        <w:rPr>
          <w:lang w:val="en-GB"/>
        </w:rPr>
        <w:t>from the perspective of respecting the dignity and non-discrimination of the elderly, some</w:t>
      </w:r>
      <w:r w:rsidR="002D4A5B" w:rsidRPr="00610C53">
        <w:rPr>
          <w:lang w:val="en-GB"/>
        </w:rPr>
        <w:t xml:space="preserve"> of these principles </w:t>
      </w:r>
      <w:r w:rsidRPr="00610C53">
        <w:rPr>
          <w:lang w:val="en-GB"/>
        </w:rPr>
        <w:t xml:space="preserve">are </w:t>
      </w:r>
      <w:r w:rsidR="002D4A5B" w:rsidRPr="00610C53">
        <w:rPr>
          <w:lang w:val="en-GB"/>
        </w:rPr>
        <w:t xml:space="preserve">incorrectly </w:t>
      </w:r>
      <w:r w:rsidRPr="00610C53">
        <w:rPr>
          <w:lang w:val="en-GB"/>
        </w:rPr>
        <w:t xml:space="preserve">interpreted and </w:t>
      </w:r>
      <w:r w:rsidR="002D4A5B" w:rsidRPr="00610C53">
        <w:rPr>
          <w:lang w:val="en-GB"/>
        </w:rPr>
        <w:t>implemented by decision makers</w:t>
      </w:r>
      <w:r w:rsidRPr="00610C53">
        <w:rPr>
          <w:lang w:val="en-GB"/>
        </w:rPr>
        <w:t>.</w:t>
      </w:r>
      <w:r w:rsidR="004F40C2" w:rsidRPr="00610C53">
        <w:rPr>
          <w:lang w:val="en-GB"/>
        </w:rPr>
        <w:t xml:space="preserve"> </w:t>
      </w:r>
    </w:p>
    <w:p w:rsidR="004F40C2" w:rsidRPr="00610C53" w:rsidRDefault="0083504C" w:rsidP="004F40C2">
      <w:pPr>
        <w:pStyle w:val="Akapitzlist"/>
        <w:numPr>
          <w:ilvl w:val="1"/>
          <w:numId w:val="4"/>
        </w:numPr>
        <w:jc w:val="both"/>
        <w:rPr>
          <w:lang w:val="en-GB"/>
        </w:rPr>
      </w:pPr>
      <w:r w:rsidRPr="00610C53">
        <w:rPr>
          <w:b/>
          <w:lang w:val="en-GB"/>
        </w:rPr>
        <w:t>The l</w:t>
      </w:r>
      <w:r w:rsidR="00BA6FBE" w:rsidRPr="00610C53">
        <w:rPr>
          <w:b/>
          <w:lang w:val="en-GB"/>
        </w:rPr>
        <w:t xml:space="preserve">ack of relevant services </w:t>
      </w:r>
      <w:r w:rsidR="00BA6FBE" w:rsidRPr="00610C53">
        <w:rPr>
          <w:rFonts w:cs="Times New Roman"/>
          <w:b/>
          <w:lang w:val="en-GB"/>
        </w:rPr>
        <w:t>at one's place of residence may mean</w:t>
      </w:r>
      <w:r w:rsidRPr="00610C53">
        <w:rPr>
          <w:rFonts w:cs="Times New Roman"/>
          <w:b/>
          <w:lang w:val="en-GB"/>
        </w:rPr>
        <w:t xml:space="preserve"> the</w:t>
      </w:r>
      <w:r w:rsidR="00BA6FBE" w:rsidRPr="00610C53">
        <w:rPr>
          <w:rFonts w:cs="Times New Roman"/>
          <w:b/>
          <w:lang w:val="en-GB"/>
        </w:rPr>
        <w:t xml:space="preserve"> lack of choice</w:t>
      </w:r>
      <w:r w:rsidRPr="00610C53">
        <w:rPr>
          <w:rFonts w:cs="Times New Roman"/>
          <w:lang w:val="en-GB"/>
        </w:rPr>
        <w:t xml:space="preserve"> - forcing </w:t>
      </w:r>
      <w:r w:rsidR="00BA6FBE" w:rsidRPr="00610C53">
        <w:rPr>
          <w:rFonts w:cs="Times New Roman"/>
          <w:lang w:val="en-GB"/>
        </w:rPr>
        <w:t>persons in need of support to mo</w:t>
      </w:r>
      <w:r w:rsidRPr="00610C53">
        <w:rPr>
          <w:rFonts w:cs="Times New Roman"/>
          <w:lang w:val="en-GB"/>
        </w:rPr>
        <w:t>v</w:t>
      </w:r>
      <w:r w:rsidR="00BA6FBE" w:rsidRPr="00610C53">
        <w:rPr>
          <w:rFonts w:cs="Times New Roman"/>
          <w:lang w:val="en-GB"/>
        </w:rPr>
        <w:t xml:space="preserve">e to a residential home. </w:t>
      </w:r>
      <w:r w:rsidRPr="00610C53">
        <w:rPr>
          <w:rFonts w:cs="Times New Roman"/>
          <w:lang w:val="en-GB"/>
        </w:rPr>
        <w:t xml:space="preserve">This means a </w:t>
      </w:r>
      <w:r w:rsidRPr="00610C53">
        <w:rPr>
          <w:rFonts w:cs="Times New Roman"/>
          <w:b/>
          <w:lang w:val="en-GB"/>
        </w:rPr>
        <w:t>limitation of older persons’ right to make decisions regarding their own lives</w:t>
      </w:r>
      <w:r w:rsidR="00F32356" w:rsidRPr="00610C53">
        <w:rPr>
          <w:rFonts w:cs="Times New Roman"/>
          <w:lang w:val="en-GB"/>
        </w:rPr>
        <w:t>,</w:t>
      </w:r>
      <w:r w:rsidR="005C3DED" w:rsidRPr="00610C53">
        <w:rPr>
          <w:rFonts w:cs="Times New Roman"/>
          <w:lang w:val="en-GB"/>
        </w:rPr>
        <w:t xml:space="preserve"> i.e.</w:t>
      </w:r>
      <w:r w:rsidR="00326EC3" w:rsidRPr="00610C53">
        <w:rPr>
          <w:rFonts w:cs="Times New Roman"/>
          <w:lang w:val="en-GB"/>
        </w:rPr>
        <w:t xml:space="preserve"> </w:t>
      </w:r>
      <w:r w:rsidR="00F32356" w:rsidRPr="00610C53">
        <w:rPr>
          <w:rFonts w:cs="Times New Roman"/>
          <w:lang w:val="en-GB"/>
        </w:rPr>
        <w:t xml:space="preserve">regarding </w:t>
      </w:r>
      <w:r w:rsidR="00B93E92" w:rsidRPr="00610C53">
        <w:rPr>
          <w:rFonts w:cs="Times New Roman"/>
          <w:lang w:val="en-GB"/>
        </w:rPr>
        <w:t xml:space="preserve">their </w:t>
      </w:r>
      <w:r w:rsidR="00326EC3" w:rsidRPr="00610C53">
        <w:rPr>
          <w:rFonts w:cs="Times New Roman"/>
          <w:lang w:val="en-GB"/>
        </w:rPr>
        <w:t>place of residence</w:t>
      </w:r>
      <w:r w:rsidRPr="00610C53">
        <w:rPr>
          <w:lang w:val="en-GB"/>
        </w:rPr>
        <w:t xml:space="preserve">. </w:t>
      </w:r>
    </w:p>
    <w:p w:rsidR="004F40C2" w:rsidRPr="00610C53" w:rsidRDefault="00B60E8A" w:rsidP="004F40C2">
      <w:pPr>
        <w:pStyle w:val="Akapitzlist"/>
        <w:numPr>
          <w:ilvl w:val="1"/>
          <w:numId w:val="4"/>
        </w:numPr>
        <w:jc w:val="both"/>
        <w:rPr>
          <w:lang w:val="en-GB"/>
        </w:rPr>
      </w:pPr>
      <w:r w:rsidRPr="00610C53">
        <w:rPr>
          <w:lang w:val="en-GB"/>
        </w:rPr>
        <w:t xml:space="preserve">The right to make decisions </w:t>
      </w:r>
      <w:r w:rsidR="00C54BAA" w:rsidRPr="00610C53">
        <w:rPr>
          <w:lang w:val="en-GB"/>
        </w:rPr>
        <w:t>regarding</w:t>
      </w:r>
      <w:r w:rsidRPr="00610C53">
        <w:rPr>
          <w:lang w:val="en-GB"/>
        </w:rPr>
        <w:t xml:space="preserve"> one’s own</w:t>
      </w:r>
      <w:r w:rsidR="00C54BAA" w:rsidRPr="00610C53">
        <w:rPr>
          <w:lang w:val="en-GB"/>
        </w:rPr>
        <w:t xml:space="preserve"> life is also </w:t>
      </w:r>
      <w:r w:rsidR="00CA281A" w:rsidRPr="00610C53">
        <w:rPr>
          <w:lang w:val="en-GB"/>
        </w:rPr>
        <w:t>fulfilled</w:t>
      </w:r>
      <w:r w:rsidR="00C54BAA" w:rsidRPr="00610C53">
        <w:rPr>
          <w:lang w:val="en-GB"/>
        </w:rPr>
        <w:t xml:space="preserve"> through the possibility to </w:t>
      </w:r>
      <w:r w:rsidR="003D068A" w:rsidRPr="00610C53">
        <w:rPr>
          <w:lang w:val="en-GB"/>
        </w:rPr>
        <w:t>determine one’s own needs and to indicate the desired form of service</w:t>
      </w:r>
      <w:r w:rsidR="00D25953" w:rsidRPr="00610C53">
        <w:rPr>
          <w:lang w:val="en-GB"/>
        </w:rPr>
        <w:t xml:space="preserve"> provision </w:t>
      </w:r>
      <w:r w:rsidR="003D068A" w:rsidRPr="00610C53">
        <w:rPr>
          <w:lang w:val="en-GB"/>
        </w:rPr>
        <w:t>by the municipality.</w:t>
      </w:r>
      <w:r w:rsidR="004F40C2" w:rsidRPr="00610C53">
        <w:rPr>
          <w:lang w:val="en-GB"/>
        </w:rPr>
        <w:t xml:space="preserve"> </w:t>
      </w:r>
      <w:r w:rsidR="003D068A" w:rsidRPr="00610C53">
        <w:rPr>
          <w:lang w:val="en-GB"/>
        </w:rPr>
        <w:t xml:space="preserve">Only </w:t>
      </w:r>
      <w:r w:rsidR="004F40C2" w:rsidRPr="00610C53">
        <w:rPr>
          <w:b/>
          <w:lang w:val="en-GB"/>
        </w:rPr>
        <w:t xml:space="preserve">17%-19% </w:t>
      </w:r>
      <w:r w:rsidR="003D068A" w:rsidRPr="00610C53">
        <w:rPr>
          <w:b/>
          <w:lang w:val="en-GB"/>
        </w:rPr>
        <w:t>of municipalities c</w:t>
      </w:r>
      <w:r w:rsidR="0044340D" w:rsidRPr="00610C53">
        <w:rPr>
          <w:b/>
          <w:lang w:val="en-GB"/>
        </w:rPr>
        <w:t xml:space="preserve">onduct formal </w:t>
      </w:r>
      <w:r w:rsidR="003D068A" w:rsidRPr="00610C53">
        <w:rPr>
          <w:b/>
          <w:lang w:val="en-GB"/>
        </w:rPr>
        <w:t xml:space="preserve">consultations </w:t>
      </w:r>
      <w:r w:rsidR="00B93E92" w:rsidRPr="00610C53">
        <w:rPr>
          <w:b/>
          <w:lang w:val="en-GB"/>
        </w:rPr>
        <w:t>concerning</w:t>
      </w:r>
      <w:r w:rsidR="0044340D" w:rsidRPr="00610C53">
        <w:rPr>
          <w:b/>
          <w:lang w:val="en-GB"/>
        </w:rPr>
        <w:t xml:space="preserve"> care needs and material needs</w:t>
      </w:r>
      <w:r w:rsidR="00B93E92" w:rsidRPr="00610C53">
        <w:rPr>
          <w:b/>
          <w:lang w:val="en-GB"/>
        </w:rPr>
        <w:t xml:space="preserve"> </w:t>
      </w:r>
      <w:r w:rsidR="00B93E92" w:rsidRPr="00610C53">
        <w:rPr>
          <w:lang w:val="en-GB"/>
        </w:rPr>
        <w:t>of the elderly</w:t>
      </w:r>
      <w:r w:rsidR="0044340D" w:rsidRPr="00610C53">
        <w:rPr>
          <w:lang w:val="en-GB"/>
        </w:rPr>
        <w:t>,</w:t>
      </w:r>
      <w:r w:rsidR="0044340D" w:rsidRPr="00610C53">
        <w:rPr>
          <w:b/>
          <w:lang w:val="en-GB"/>
        </w:rPr>
        <w:t xml:space="preserve"> </w:t>
      </w:r>
      <w:r w:rsidR="0044340D" w:rsidRPr="00610C53">
        <w:rPr>
          <w:lang w:val="en-GB"/>
        </w:rPr>
        <w:t xml:space="preserve">and </w:t>
      </w:r>
      <w:r w:rsidR="004F40C2" w:rsidRPr="00610C53">
        <w:rPr>
          <w:lang w:val="en-GB"/>
        </w:rPr>
        <w:t xml:space="preserve">28% </w:t>
      </w:r>
      <w:r w:rsidR="0044340D" w:rsidRPr="00610C53">
        <w:rPr>
          <w:lang w:val="en-GB"/>
        </w:rPr>
        <w:t>- consultations concerning the organization of leisure activities</w:t>
      </w:r>
      <w:r w:rsidR="00B93E92" w:rsidRPr="00610C53">
        <w:rPr>
          <w:lang w:val="en-GB"/>
        </w:rPr>
        <w:t xml:space="preserve"> for them</w:t>
      </w:r>
      <w:r w:rsidR="0044340D" w:rsidRPr="00610C53">
        <w:rPr>
          <w:lang w:val="en-GB"/>
        </w:rPr>
        <w:t xml:space="preserve">. Thus the </w:t>
      </w:r>
      <w:r w:rsidR="0044340D" w:rsidRPr="00610C53">
        <w:rPr>
          <w:b/>
          <w:lang w:val="en-GB"/>
        </w:rPr>
        <w:t xml:space="preserve">concern </w:t>
      </w:r>
      <w:r w:rsidR="00B93E92" w:rsidRPr="00610C53">
        <w:rPr>
          <w:b/>
          <w:lang w:val="en-GB"/>
        </w:rPr>
        <w:t>whether</w:t>
      </w:r>
      <w:r w:rsidR="00FA24EB" w:rsidRPr="00610C53">
        <w:rPr>
          <w:b/>
          <w:lang w:val="en-GB"/>
        </w:rPr>
        <w:t xml:space="preserve"> decision makers reach all older persons </w:t>
      </w:r>
      <w:r w:rsidR="00B93E92" w:rsidRPr="00610C53">
        <w:rPr>
          <w:b/>
          <w:lang w:val="en-GB"/>
        </w:rPr>
        <w:t>or their representative groups</w:t>
      </w:r>
      <w:r w:rsidR="00D25953" w:rsidRPr="00610C53">
        <w:rPr>
          <w:b/>
          <w:lang w:val="en-GB"/>
        </w:rPr>
        <w:t>,</w:t>
      </w:r>
      <w:r w:rsidR="00B93E92" w:rsidRPr="00610C53">
        <w:rPr>
          <w:b/>
          <w:lang w:val="en-GB"/>
        </w:rPr>
        <w:t xml:space="preserve"> and listen to their voice</w:t>
      </w:r>
      <w:r w:rsidR="00B93E92" w:rsidRPr="00610C53">
        <w:rPr>
          <w:lang w:val="en-GB"/>
        </w:rPr>
        <w:t xml:space="preserve">. </w:t>
      </w:r>
    </w:p>
    <w:p w:rsidR="004F40C2" w:rsidRPr="00610C53" w:rsidRDefault="00B93E92" w:rsidP="004F40C2">
      <w:pPr>
        <w:pStyle w:val="Akapitzlist"/>
        <w:numPr>
          <w:ilvl w:val="1"/>
          <w:numId w:val="4"/>
        </w:numPr>
        <w:jc w:val="both"/>
        <w:rPr>
          <w:lang w:val="en-GB"/>
        </w:rPr>
      </w:pPr>
      <w:r w:rsidRPr="00610C53">
        <w:rPr>
          <w:lang w:val="en-GB"/>
        </w:rPr>
        <w:t xml:space="preserve">Municipalities </w:t>
      </w:r>
      <w:r w:rsidR="00D25953" w:rsidRPr="00610C53">
        <w:rPr>
          <w:lang w:val="en-GB"/>
        </w:rPr>
        <w:t>are not aware of</w:t>
      </w:r>
      <w:r w:rsidRPr="00610C53">
        <w:rPr>
          <w:lang w:val="en-GB"/>
        </w:rPr>
        <w:t xml:space="preserve"> their role in creating incentives for </w:t>
      </w:r>
      <w:r w:rsidRPr="00610C53">
        <w:rPr>
          <w:rFonts w:cs="Times New Roman"/>
          <w:lang w:val="en-GB"/>
        </w:rPr>
        <w:t xml:space="preserve">the so called 'silver economy', that is the development of entrepreneurship based on the demand for goods and services related to advanced age. As a result, </w:t>
      </w:r>
      <w:r w:rsidRPr="00610C53">
        <w:rPr>
          <w:rFonts w:cs="Times New Roman"/>
          <w:b/>
          <w:lang w:val="en-GB"/>
        </w:rPr>
        <w:t>older persons or their carers do not know where to turn to for support, even paid</w:t>
      </w:r>
      <w:r w:rsidR="00F17B67" w:rsidRPr="00610C53">
        <w:rPr>
          <w:rFonts w:cs="Times New Roman"/>
          <w:b/>
          <w:lang w:val="en-GB"/>
        </w:rPr>
        <w:t xml:space="preserve"> one</w:t>
      </w:r>
      <w:r w:rsidRPr="00610C53">
        <w:rPr>
          <w:rFonts w:cs="Times New Roman"/>
          <w:b/>
          <w:lang w:val="en-GB"/>
        </w:rPr>
        <w:t xml:space="preserve">. </w:t>
      </w:r>
      <w:r w:rsidR="007768F4" w:rsidRPr="00610C53">
        <w:rPr>
          <w:rFonts w:cs="Times New Roman"/>
          <w:lang w:val="en-GB"/>
        </w:rPr>
        <w:t xml:space="preserve">Entrepreneurs are primarily viewed as local philanthropists. This leads, on the one hand, to unused potential and, on the other hand, </w:t>
      </w:r>
      <w:r w:rsidR="00F17B67" w:rsidRPr="00610C53">
        <w:rPr>
          <w:rFonts w:cs="Times New Roman"/>
          <w:lang w:val="en-GB"/>
        </w:rPr>
        <w:t xml:space="preserve">to the </w:t>
      </w:r>
      <w:r w:rsidR="007768F4" w:rsidRPr="00610C53">
        <w:rPr>
          <w:rFonts w:cs="Times New Roman"/>
          <w:lang w:val="en-GB"/>
        </w:rPr>
        <w:t>lack of visibility of the elderly, their needs and the needs of their carers</w:t>
      </w:r>
      <w:r w:rsidR="004F40C2" w:rsidRPr="00610C53">
        <w:rPr>
          <w:lang w:val="en-GB"/>
        </w:rPr>
        <w:t xml:space="preserve">. </w:t>
      </w:r>
    </w:p>
    <w:p w:rsidR="004F40C2" w:rsidRPr="00610C53" w:rsidRDefault="007768F4" w:rsidP="007768F4">
      <w:pPr>
        <w:pStyle w:val="Akapitzlist"/>
        <w:numPr>
          <w:ilvl w:val="1"/>
          <w:numId w:val="4"/>
        </w:numPr>
        <w:jc w:val="both"/>
        <w:rPr>
          <w:lang w:val="en-GB"/>
        </w:rPr>
      </w:pPr>
      <w:r w:rsidRPr="00610C53">
        <w:rPr>
          <w:rFonts w:cs="Times New Roman"/>
          <w:b/>
          <w:lang w:val="en-GB"/>
        </w:rPr>
        <w:t>All projects implemented by municipalities should be assessed in terms of their accessibility for the elderly</w:t>
      </w:r>
      <w:r w:rsidRPr="00610C53">
        <w:rPr>
          <w:rFonts w:cs="Times New Roman"/>
          <w:lang w:val="en-GB"/>
        </w:rPr>
        <w:t>.</w:t>
      </w:r>
      <w:r w:rsidR="004F40C2" w:rsidRPr="00610C53">
        <w:rPr>
          <w:lang w:val="en-GB"/>
        </w:rPr>
        <w:t xml:space="preserve"> </w:t>
      </w:r>
      <w:r w:rsidRPr="00610C53">
        <w:rPr>
          <w:lang w:val="en-GB"/>
        </w:rPr>
        <w:t xml:space="preserve">This means asking whether older persons will </w:t>
      </w:r>
      <w:r w:rsidR="00650680" w:rsidRPr="00610C53">
        <w:rPr>
          <w:lang w:val="en-GB"/>
        </w:rPr>
        <w:t xml:space="preserve">have ensured conditions for </w:t>
      </w:r>
      <w:r w:rsidRPr="00610C53">
        <w:rPr>
          <w:lang w:val="en-GB"/>
        </w:rPr>
        <w:t>participat</w:t>
      </w:r>
      <w:r w:rsidR="00650680" w:rsidRPr="00610C53">
        <w:rPr>
          <w:lang w:val="en-GB"/>
        </w:rPr>
        <w:t xml:space="preserve">ing in a given project or its </w:t>
      </w:r>
      <w:r w:rsidRPr="00610C53">
        <w:rPr>
          <w:lang w:val="en-GB"/>
        </w:rPr>
        <w:t>effects</w:t>
      </w:r>
      <w:r w:rsidR="00650680" w:rsidRPr="00610C53">
        <w:rPr>
          <w:lang w:val="en-GB"/>
        </w:rPr>
        <w:t xml:space="preserve">, and how will the </w:t>
      </w:r>
      <w:r w:rsidRPr="00610C53">
        <w:rPr>
          <w:lang w:val="en-GB"/>
        </w:rPr>
        <w:t>project contribute to the inclusion of older pe</w:t>
      </w:r>
      <w:r w:rsidR="00650680" w:rsidRPr="00610C53">
        <w:rPr>
          <w:lang w:val="en-GB"/>
        </w:rPr>
        <w:t xml:space="preserve">rsons </w:t>
      </w:r>
      <w:r w:rsidRPr="00610C53">
        <w:rPr>
          <w:lang w:val="en-GB"/>
        </w:rPr>
        <w:t xml:space="preserve">in the </w:t>
      </w:r>
      <w:r w:rsidR="00650680" w:rsidRPr="00610C53">
        <w:rPr>
          <w:lang w:val="en-GB"/>
        </w:rPr>
        <w:t xml:space="preserve">social life of the local community. </w:t>
      </w:r>
      <w:r w:rsidR="00650680" w:rsidRPr="00610C53">
        <w:rPr>
          <w:b/>
          <w:lang w:val="en-GB"/>
        </w:rPr>
        <w:t>Decision makers</w:t>
      </w:r>
      <w:r w:rsidRPr="00610C53">
        <w:rPr>
          <w:b/>
          <w:lang w:val="en-GB"/>
        </w:rPr>
        <w:t xml:space="preserve"> often confuse the principle of </w:t>
      </w:r>
      <w:r w:rsidRPr="00610C53">
        <w:rPr>
          <w:b/>
          <w:i/>
          <w:lang w:val="en-GB"/>
        </w:rPr>
        <w:t>mainstreaming ageing</w:t>
      </w:r>
      <w:r w:rsidRPr="00610C53">
        <w:rPr>
          <w:b/>
          <w:lang w:val="en-GB"/>
        </w:rPr>
        <w:t xml:space="preserve"> </w:t>
      </w:r>
      <w:r w:rsidR="00650680" w:rsidRPr="00610C53">
        <w:rPr>
          <w:b/>
          <w:lang w:val="en-GB"/>
        </w:rPr>
        <w:t>with</w:t>
      </w:r>
      <w:r w:rsidRPr="00610C53">
        <w:rPr>
          <w:b/>
          <w:lang w:val="en-GB"/>
        </w:rPr>
        <w:t xml:space="preserve"> the principle of multi</w:t>
      </w:r>
      <w:r w:rsidR="00650680" w:rsidRPr="00610C53">
        <w:rPr>
          <w:b/>
          <w:lang w:val="en-GB"/>
        </w:rPr>
        <w:t>-</w:t>
      </w:r>
      <w:r w:rsidRPr="00610C53">
        <w:rPr>
          <w:b/>
          <w:lang w:val="en-GB"/>
        </w:rPr>
        <w:t>sectoral</w:t>
      </w:r>
      <w:r w:rsidR="00650680" w:rsidRPr="00610C53">
        <w:rPr>
          <w:b/>
          <w:lang w:val="en-GB"/>
        </w:rPr>
        <w:t xml:space="preserve"> approach, or just fail to observe it. </w:t>
      </w:r>
      <w:r w:rsidRPr="00610C53">
        <w:rPr>
          <w:b/>
          <w:lang w:val="en-GB"/>
        </w:rPr>
        <w:t xml:space="preserve">This may </w:t>
      </w:r>
      <w:r w:rsidR="00650680" w:rsidRPr="00610C53">
        <w:rPr>
          <w:b/>
          <w:lang w:val="en-GB"/>
        </w:rPr>
        <w:t xml:space="preserve">cause </w:t>
      </w:r>
      <w:r w:rsidRPr="00610C53">
        <w:rPr>
          <w:b/>
          <w:lang w:val="en-GB"/>
        </w:rPr>
        <w:t xml:space="preserve">social exclusion of </w:t>
      </w:r>
      <w:r w:rsidR="00650680" w:rsidRPr="00610C53">
        <w:rPr>
          <w:b/>
          <w:lang w:val="en-GB"/>
        </w:rPr>
        <w:t>the elderly</w:t>
      </w:r>
      <w:r w:rsidRPr="00610C53">
        <w:rPr>
          <w:b/>
          <w:lang w:val="en-GB"/>
        </w:rPr>
        <w:t xml:space="preserve"> who, due to existing barriers, will not </w:t>
      </w:r>
      <w:r w:rsidR="00650680" w:rsidRPr="00610C53">
        <w:rPr>
          <w:b/>
          <w:lang w:val="en-GB"/>
        </w:rPr>
        <w:t xml:space="preserve">benefit </w:t>
      </w:r>
      <w:r w:rsidR="00650680" w:rsidRPr="00610C53">
        <w:rPr>
          <w:b/>
          <w:lang w:val="en-GB"/>
        </w:rPr>
        <w:lastRenderedPageBreak/>
        <w:t xml:space="preserve">from activities of the </w:t>
      </w:r>
      <w:r w:rsidRPr="00610C53">
        <w:rPr>
          <w:b/>
          <w:lang w:val="en-GB"/>
        </w:rPr>
        <w:t>local government</w:t>
      </w:r>
      <w:r w:rsidR="00650680" w:rsidRPr="00610C53">
        <w:rPr>
          <w:lang w:val="en-GB"/>
        </w:rPr>
        <w:t xml:space="preserve">, which in practice means </w:t>
      </w:r>
      <w:r w:rsidR="003842F8" w:rsidRPr="00610C53">
        <w:rPr>
          <w:lang w:val="en-GB"/>
        </w:rPr>
        <w:t>senior persons’</w:t>
      </w:r>
      <w:r w:rsidR="00650680" w:rsidRPr="00610C53">
        <w:rPr>
          <w:lang w:val="en-GB"/>
        </w:rPr>
        <w:t xml:space="preserve"> discrimination</w:t>
      </w:r>
      <w:r w:rsidR="004F40C2" w:rsidRPr="00610C53">
        <w:rPr>
          <w:lang w:val="en-GB"/>
        </w:rPr>
        <w:t xml:space="preserve">. </w:t>
      </w:r>
    </w:p>
    <w:p w:rsidR="003842F8" w:rsidRPr="00610C53" w:rsidRDefault="003842F8" w:rsidP="003842F8">
      <w:pPr>
        <w:pStyle w:val="Akapitzlist"/>
        <w:numPr>
          <w:ilvl w:val="1"/>
          <w:numId w:val="4"/>
        </w:numPr>
        <w:jc w:val="both"/>
        <w:rPr>
          <w:lang w:val="en-GB"/>
        </w:rPr>
      </w:pPr>
      <w:r w:rsidRPr="00610C53">
        <w:rPr>
          <w:b/>
          <w:lang w:val="en-GB"/>
        </w:rPr>
        <w:t xml:space="preserve">The term “discrimination of senior persons” is often understood too narrowly. </w:t>
      </w:r>
      <w:r w:rsidRPr="00610C53">
        <w:rPr>
          <w:lang w:val="en-GB"/>
        </w:rPr>
        <w:t xml:space="preserve">Decision makers </w:t>
      </w:r>
      <w:r w:rsidR="00152970" w:rsidRPr="00610C53">
        <w:rPr>
          <w:lang w:val="en-GB"/>
        </w:rPr>
        <w:t xml:space="preserve">understand such </w:t>
      </w:r>
      <w:r w:rsidRPr="00610C53">
        <w:rPr>
          <w:lang w:val="en-GB"/>
        </w:rPr>
        <w:t>discriminat</w:t>
      </w:r>
      <w:r w:rsidR="00152970" w:rsidRPr="00610C53">
        <w:rPr>
          <w:lang w:val="en-GB"/>
        </w:rPr>
        <w:t xml:space="preserve">ion only as </w:t>
      </w:r>
      <w:r w:rsidRPr="00610C53">
        <w:rPr>
          <w:lang w:val="en-GB"/>
        </w:rPr>
        <w:t xml:space="preserve">active, intentional exclusion of </w:t>
      </w:r>
      <w:r w:rsidR="00152970" w:rsidRPr="00610C53">
        <w:rPr>
          <w:lang w:val="en-GB"/>
        </w:rPr>
        <w:t>the elderly, and therefore consider</w:t>
      </w:r>
      <w:r w:rsidRPr="00610C53">
        <w:rPr>
          <w:lang w:val="en-GB"/>
        </w:rPr>
        <w:t xml:space="preserve"> their </w:t>
      </w:r>
      <w:r w:rsidR="00152970" w:rsidRPr="00610C53">
        <w:rPr>
          <w:lang w:val="en-GB"/>
        </w:rPr>
        <w:t xml:space="preserve">own </w:t>
      </w:r>
      <w:r w:rsidRPr="00610C53">
        <w:rPr>
          <w:lang w:val="en-GB"/>
        </w:rPr>
        <w:t>actions</w:t>
      </w:r>
      <w:r w:rsidR="00152970" w:rsidRPr="00610C53">
        <w:rPr>
          <w:lang w:val="en-GB"/>
        </w:rPr>
        <w:t xml:space="preserve"> as</w:t>
      </w:r>
      <w:r w:rsidRPr="00610C53">
        <w:rPr>
          <w:lang w:val="en-GB"/>
        </w:rPr>
        <w:t xml:space="preserve"> </w:t>
      </w:r>
      <w:r w:rsidR="00152970" w:rsidRPr="00610C53">
        <w:rPr>
          <w:lang w:val="en-GB"/>
        </w:rPr>
        <w:t>non-discriminatory</w:t>
      </w:r>
      <w:r w:rsidRPr="00610C53">
        <w:rPr>
          <w:lang w:val="en-GB"/>
        </w:rPr>
        <w:t xml:space="preserve">. </w:t>
      </w:r>
      <w:r w:rsidR="00152970" w:rsidRPr="00610C53">
        <w:rPr>
          <w:b/>
          <w:lang w:val="en-GB"/>
        </w:rPr>
        <w:t>B</w:t>
      </w:r>
      <w:r w:rsidRPr="00610C53">
        <w:rPr>
          <w:b/>
          <w:lang w:val="en-GB"/>
        </w:rPr>
        <w:t xml:space="preserve">arriers </w:t>
      </w:r>
      <w:r w:rsidR="00152970" w:rsidRPr="00610C53">
        <w:rPr>
          <w:b/>
          <w:lang w:val="en-GB"/>
        </w:rPr>
        <w:t>in</w:t>
      </w:r>
      <w:r w:rsidRPr="00610C53">
        <w:rPr>
          <w:b/>
          <w:lang w:val="en-GB"/>
        </w:rPr>
        <w:t xml:space="preserve"> accessing the effects of </w:t>
      </w:r>
      <w:r w:rsidR="00152970" w:rsidRPr="00610C53">
        <w:rPr>
          <w:b/>
          <w:lang w:val="en-GB"/>
        </w:rPr>
        <w:t>the</w:t>
      </w:r>
      <w:r w:rsidRPr="00610C53">
        <w:rPr>
          <w:b/>
          <w:lang w:val="en-GB"/>
        </w:rPr>
        <w:t xml:space="preserve"> municipality's actions are a measure of indirect discrimination</w:t>
      </w:r>
      <w:r w:rsidR="00152970" w:rsidRPr="00610C53">
        <w:rPr>
          <w:lang w:val="en-GB"/>
        </w:rPr>
        <w:t xml:space="preserve">. </w:t>
      </w:r>
      <w:r w:rsidR="00002D32" w:rsidRPr="00610C53">
        <w:rPr>
          <w:lang w:val="en-GB"/>
        </w:rPr>
        <w:t>It takes place when</w:t>
      </w:r>
      <w:r w:rsidR="00152970" w:rsidRPr="00610C53">
        <w:rPr>
          <w:lang w:val="en-GB"/>
        </w:rPr>
        <w:t xml:space="preserve"> </w:t>
      </w:r>
      <w:r w:rsidRPr="00610C53">
        <w:rPr>
          <w:lang w:val="en-GB"/>
        </w:rPr>
        <w:t>a seemingly equitable decision</w:t>
      </w:r>
      <w:r w:rsidR="00152970" w:rsidRPr="00610C53">
        <w:rPr>
          <w:lang w:val="en-GB"/>
        </w:rPr>
        <w:t xml:space="preserve"> </w:t>
      </w:r>
      <w:r w:rsidR="00002D32" w:rsidRPr="00610C53">
        <w:rPr>
          <w:lang w:val="en-GB"/>
        </w:rPr>
        <w:t xml:space="preserve">or </w:t>
      </w:r>
      <w:r w:rsidRPr="00610C53">
        <w:rPr>
          <w:lang w:val="en-GB"/>
        </w:rPr>
        <w:t xml:space="preserve">criterion </w:t>
      </w:r>
      <w:r w:rsidR="00002D32" w:rsidRPr="00610C53">
        <w:rPr>
          <w:lang w:val="en-GB"/>
        </w:rPr>
        <w:t>leads to</w:t>
      </w:r>
      <w:r w:rsidR="00152970" w:rsidRPr="00610C53">
        <w:rPr>
          <w:lang w:val="en-GB"/>
        </w:rPr>
        <w:t xml:space="preserve"> </w:t>
      </w:r>
      <w:r w:rsidR="00002D32" w:rsidRPr="00610C53">
        <w:rPr>
          <w:lang w:val="en-GB"/>
        </w:rPr>
        <w:t>the occurrence of a situation unfavourable</w:t>
      </w:r>
      <w:r w:rsidRPr="00610C53">
        <w:rPr>
          <w:lang w:val="en-GB"/>
        </w:rPr>
        <w:t xml:space="preserve"> for a </w:t>
      </w:r>
      <w:r w:rsidR="00002D32" w:rsidRPr="00610C53">
        <w:rPr>
          <w:lang w:val="en-GB"/>
        </w:rPr>
        <w:t xml:space="preserve">given </w:t>
      </w:r>
      <w:r w:rsidRPr="00610C53">
        <w:rPr>
          <w:lang w:val="en-GB"/>
        </w:rPr>
        <w:t xml:space="preserve">person </w:t>
      </w:r>
      <w:r w:rsidR="00002D32" w:rsidRPr="00610C53">
        <w:rPr>
          <w:lang w:val="en-GB"/>
        </w:rPr>
        <w:t>due to his/her</w:t>
      </w:r>
      <w:r w:rsidRPr="00610C53">
        <w:rPr>
          <w:lang w:val="en-GB"/>
        </w:rPr>
        <w:t xml:space="preserve"> age and related condition</w:t>
      </w:r>
      <w:r w:rsidR="00002D32" w:rsidRPr="00610C53">
        <w:rPr>
          <w:lang w:val="en-GB"/>
        </w:rPr>
        <w:t xml:space="preserve">s such as motor skills problems. </w:t>
      </w:r>
    </w:p>
    <w:p w:rsidR="003842F8" w:rsidRPr="00610C53" w:rsidRDefault="00002D32" w:rsidP="003842F8">
      <w:pPr>
        <w:pStyle w:val="Akapitzlist"/>
        <w:numPr>
          <w:ilvl w:val="1"/>
          <w:numId w:val="4"/>
        </w:numPr>
        <w:jc w:val="both"/>
        <w:rPr>
          <w:lang w:val="en-GB"/>
        </w:rPr>
      </w:pPr>
      <w:r w:rsidRPr="00610C53">
        <w:rPr>
          <w:lang w:val="en-GB"/>
        </w:rPr>
        <w:t>S</w:t>
      </w:r>
      <w:r w:rsidR="003842F8" w:rsidRPr="00610C53">
        <w:rPr>
          <w:lang w:val="en-GB"/>
        </w:rPr>
        <w:t xml:space="preserve">ubsidiarity of </w:t>
      </w:r>
      <w:r w:rsidRPr="00610C53">
        <w:rPr>
          <w:lang w:val="en-GB"/>
        </w:rPr>
        <w:t>municipalities’ activities</w:t>
      </w:r>
      <w:r w:rsidR="003842F8" w:rsidRPr="00610C53">
        <w:rPr>
          <w:lang w:val="en-GB"/>
        </w:rPr>
        <w:t xml:space="preserve"> is insufficient.</w:t>
      </w:r>
      <w:r w:rsidR="003842F8" w:rsidRPr="00610C53">
        <w:rPr>
          <w:b/>
          <w:lang w:val="en-GB"/>
        </w:rPr>
        <w:t xml:space="preserve"> Less than half of municipalities recognize the </w:t>
      </w:r>
      <w:r w:rsidRPr="00610C53">
        <w:rPr>
          <w:b/>
          <w:lang w:val="en-GB"/>
        </w:rPr>
        <w:t xml:space="preserve">significance </w:t>
      </w:r>
      <w:r w:rsidR="003842F8" w:rsidRPr="00610C53">
        <w:rPr>
          <w:b/>
          <w:lang w:val="en-GB"/>
        </w:rPr>
        <w:t xml:space="preserve">of </w:t>
      </w:r>
      <w:r w:rsidR="00A6038C" w:rsidRPr="00610C53">
        <w:rPr>
          <w:b/>
          <w:lang w:val="en-GB"/>
        </w:rPr>
        <w:t>improving</w:t>
      </w:r>
      <w:r w:rsidR="003842F8" w:rsidRPr="00610C53">
        <w:rPr>
          <w:b/>
          <w:lang w:val="en-GB"/>
        </w:rPr>
        <w:t xml:space="preserve"> the system so as to support </w:t>
      </w:r>
      <w:r w:rsidRPr="00610C53">
        <w:rPr>
          <w:b/>
          <w:lang w:val="en-GB"/>
        </w:rPr>
        <w:t>older persons</w:t>
      </w:r>
      <w:r w:rsidR="003A2B3A" w:rsidRPr="00610C53">
        <w:rPr>
          <w:b/>
          <w:lang w:val="en-GB"/>
        </w:rPr>
        <w:t>’ carers</w:t>
      </w:r>
      <w:r w:rsidRPr="00610C53">
        <w:rPr>
          <w:b/>
          <w:lang w:val="en-GB"/>
        </w:rPr>
        <w:t xml:space="preserve">, </w:t>
      </w:r>
      <w:r w:rsidR="003842F8" w:rsidRPr="00610C53">
        <w:rPr>
          <w:lang w:val="en-GB"/>
        </w:rPr>
        <w:t xml:space="preserve">for example by providing </w:t>
      </w:r>
      <w:r w:rsidR="003A2B3A" w:rsidRPr="00610C53">
        <w:rPr>
          <w:lang w:val="en-GB"/>
        </w:rPr>
        <w:t xml:space="preserve">them with </w:t>
      </w:r>
      <w:r w:rsidR="003842F8" w:rsidRPr="00610C53">
        <w:rPr>
          <w:lang w:val="en-GB"/>
        </w:rPr>
        <w:t xml:space="preserve">information on available support </w:t>
      </w:r>
      <w:r w:rsidR="003A2B3A" w:rsidRPr="00610C53">
        <w:rPr>
          <w:lang w:val="en-GB"/>
        </w:rPr>
        <w:t>or</w:t>
      </w:r>
      <w:r w:rsidR="003842F8" w:rsidRPr="00610C53">
        <w:rPr>
          <w:lang w:val="en-GB"/>
        </w:rPr>
        <w:t xml:space="preserve"> </w:t>
      </w:r>
      <w:r w:rsidRPr="00610C53">
        <w:rPr>
          <w:lang w:val="en-GB"/>
        </w:rPr>
        <w:t xml:space="preserve">by </w:t>
      </w:r>
      <w:r w:rsidR="003842F8" w:rsidRPr="00610C53">
        <w:rPr>
          <w:lang w:val="en-GB"/>
        </w:rPr>
        <w:t xml:space="preserve">organizing training. </w:t>
      </w:r>
      <w:r w:rsidRPr="00610C53">
        <w:rPr>
          <w:lang w:val="en-GB"/>
        </w:rPr>
        <w:t xml:space="preserve">Only in </w:t>
      </w:r>
      <w:r w:rsidR="003842F8" w:rsidRPr="00610C53">
        <w:rPr>
          <w:lang w:val="en-GB"/>
        </w:rPr>
        <w:t xml:space="preserve">few municipalities, </w:t>
      </w:r>
      <w:r w:rsidRPr="00610C53">
        <w:rPr>
          <w:lang w:val="en-GB"/>
        </w:rPr>
        <w:t xml:space="preserve">provision of assistance to </w:t>
      </w:r>
      <w:r w:rsidR="003842F8" w:rsidRPr="00610C53">
        <w:rPr>
          <w:lang w:val="en-GB"/>
        </w:rPr>
        <w:t>carer</w:t>
      </w:r>
      <w:r w:rsidRPr="00610C53">
        <w:rPr>
          <w:lang w:val="en-GB"/>
        </w:rPr>
        <w:t xml:space="preserve">s </w:t>
      </w:r>
      <w:r w:rsidR="003842F8" w:rsidRPr="00610C53">
        <w:rPr>
          <w:lang w:val="en-GB"/>
        </w:rPr>
        <w:t>is one of the purposes of visits by social workers.</w:t>
      </w:r>
      <w:r w:rsidRPr="00610C53">
        <w:rPr>
          <w:lang w:val="en-GB"/>
        </w:rPr>
        <w:t xml:space="preserve"> </w:t>
      </w:r>
    </w:p>
    <w:p w:rsidR="003842F8" w:rsidRPr="00610C53" w:rsidRDefault="00A6038C" w:rsidP="003842F8">
      <w:pPr>
        <w:pStyle w:val="Akapitzlist"/>
        <w:numPr>
          <w:ilvl w:val="1"/>
          <w:numId w:val="4"/>
        </w:numPr>
        <w:jc w:val="both"/>
        <w:rPr>
          <w:lang w:val="en-GB"/>
        </w:rPr>
      </w:pPr>
      <w:r w:rsidRPr="00610C53">
        <w:rPr>
          <w:b/>
          <w:lang w:val="en-GB"/>
        </w:rPr>
        <w:t>The c</w:t>
      </w:r>
      <w:r w:rsidR="00EF20FD" w:rsidRPr="00610C53">
        <w:rPr>
          <w:b/>
          <w:lang w:val="en-GB"/>
        </w:rPr>
        <w:t>oo</w:t>
      </w:r>
      <w:r w:rsidR="003842F8" w:rsidRPr="00610C53">
        <w:rPr>
          <w:b/>
          <w:lang w:val="en-GB"/>
        </w:rPr>
        <w:t xml:space="preserve">rdination of support </w:t>
      </w:r>
      <w:r w:rsidR="00CA281A" w:rsidRPr="00610C53">
        <w:rPr>
          <w:b/>
          <w:lang w:val="en-GB"/>
        </w:rPr>
        <w:t xml:space="preserve">activities, which is critical for their </w:t>
      </w:r>
      <w:r w:rsidR="003842F8" w:rsidRPr="00610C53">
        <w:rPr>
          <w:b/>
          <w:lang w:val="en-GB"/>
        </w:rPr>
        <w:t>effective</w:t>
      </w:r>
      <w:r w:rsidR="00CA281A" w:rsidRPr="00610C53">
        <w:rPr>
          <w:b/>
          <w:lang w:val="en-GB"/>
        </w:rPr>
        <w:t>ness</w:t>
      </w:r>
      <w:r w:rsidR="003842F8" w:rsidRPr="00610C53">
        <w:rPr>
          <w:b/>
          <w:lang w:val="en-GB"/>
        </w:rPr>
        <w:t>, is highly underestimated by decision-makers</w:t>
      </w:r>
      <w:r w:rsidR="003842F8" w:rsidRPr="00610C53">
        <w:rPr>
          <w:lang w:val="en-GB"/>
        </w:rPr>
        <w:t xml:space="preserve">. 71% of </w:t>
      </w:r>
      <w:r w:rsidR="00CA281A" w:rsidRPr="00610C53">
        <w:rPr>
          <w:lang w:val="en-GB"/>
        </w:rPr>
        <w:t xml:space="preserve">municipalities </w:t>
      </w:r>
      <w:r w:rsidR="003842F8" w:rsidRPr="00610C53">
        <w:rPr>
          <w:lang w:val="en-GB"/>
        </w:rPr>
        <w:t xml:space="preserve">have no </w:t>
      </w:r>
      <w:r w:rsidR="00A95BDE" w:rsidRPr="00610C53">
        <w:rPr>
          <w:lang w:val="en-GB"/>
        </w:rPr>
        <w:t>unit responsible for such</w:t>
      </w:r>
      <w:r w:rsidRPr="00610C53">
        <w:rPr>
          <w:lang w:val="en-GB"/>
        </w:rPr>
        <w:t xml:space="preserve"> </w:t>
      </w:r>
      <w:r w:rsidR="003842F8" w:rsidRPr="00610C53">
        <w:rPr>
          <w:lang w:val="en-GB"/>
        </w:rPr>
        <w:t>coordinati</w:t>
      </w:r>
      <w:r w:rsidRPr="00610C53">
        <w:rPr>
          <w:lang w:val="en-GB"/>
        </w:rPr>
        <w:t xml:space="preserve">on; some municipalities </w:t>
      </w:r>
      <w:r w:rsidR="003842F8" w:rsidRPr="00610C53">
        <w:rPr>
          <w:lang w:val="en-GB"/>
        </w:rPr>
        <w:t xml:space="preserve">confuse coordination with supervision. Coordination, </w:t>
      </w:r>
      <w:r w:rsidR="00A95BDE" w:rsidRPr="00610C53">
        <w:rPr>
          <w:lang w:val="en-GB"/>
        </w:rPr>
        <w:t>founded on the principle of</w:t>
      </w:r>
      <w:r w:rsidR="003842F8" w:rsidRPr="00610C53">
        <w:rPr>
          <w:lang w:val="en-GB"/>
        </w:rPr>
        <w:t xml:space="preserve"> dignity of the elderly, is based on </w:t>
      </w:r>
      <w:r w:rsidR="00A95BDE" w:rsidRPr="00610C53">
        <w:rPr>
          <w:lang w:val="en-GB"/>
        </w:rPr>
        <w:t xml:space="preserve">analysing </w:t>
      </w:r>
      <w:r w:rsidR="003842F8" w:rsidRPr="00610C53">
        <w:rPr>
          <w:lang w:val="en-GB"/>
        </w:rPr>
        <w:t xml:space="preserve">the needs of </w:t>
      </w:r>
      <w:r w:rsidR="00A95BDE" w:rsidRPr="00610C53">
        <w:rPr>
          <w:lang w:val="en-GB"/>
        </w:rPr>
        <w:t>seniors</w:t>
      </w:r>
      <w:r w:rsidR="003842F8" w:rsidRPr="00610C53">
        <w:rPr>
          <w:lang w:val="en-GB"/>
        </w:rPr>
        <w:t xml:space="preserve"> and </w:t>
      </w:r>
      <w:r w:rsidR="00A95BDE" w:rsidRPr="00610C53">
        <w:rPr>
          <w:lang w:val="en-GB"/>
        </w:rPr>
        <w:t>their</w:t>
      </w:r>
      <w:r w:rsidR="003842F8" w:rsidRPr="00610C53">
        <w:rPr>
          <w:lang w:val="en-GB"/>
        </w:rPr>
        <w:t xml:space="preserve"> </w:t>
      </w:r>
      <w:r w:rsidR="00A95BDE" w:rsidRPr="00610C53">
        <w:rPr>
          <w:lang w:val="en-GB"/>
        </w:rPr>
        <w:t xml:space="preserve">relatives - </w:t>
      </w:r>
      <w:r w:rsidR="003842F8" w:rsidRPr="00610C53">
        <w:rPr>
          <w:lang w:val="en-GB"/>
        </w:rPr>
        <w:t xml:space="preserve">carers. </w:t>
      </w:r>
      <w:r w:rsidR="00A95BDE" w:rsidRPr="00610C53">
        <w:rPr>
          <w:lang w:val="en-GB"/>
        </w:rPr>
        <w:t xml:space="preserve">It requires the engagement of </w:t>
      </w:r>
      <w:r w:rsidR="003842F8" w:rsidRPr="00610C53">
        <w:rPr>
          <w:lang w:val="en-GB"/>
        </w:rPr>
        <w:t xml:space="preserve">different </w:t>
      </w:r>
      <w:r w:rsidR="00A95BDE" w:rsidRPr="00610C53">
        <w:rPr>
          <w:lang w:val="en-GB"/>
        </w:rPr>
        <w:t>stakeholders,</w:t>
      </w:r>
      <w:r w:rsidR="003842F8" w:rsidRPr="00610C53">
        <w:rPr>
          <w:lang w:val="en-GB"/>
        </w:rPr>
        <w:t xml:space="preserve"> including public institutions, NGOs and private entities</w:t>
      </w:r>
      <w:r w:rsidR="00A95BDE" w:rsidRPr="00610C53">
        <w:rPr>
          <w:lang w:val="en-GB"/>
        </w:rPr>
        <w:t>, in b</w:t>
      </w:r>
      <w:r w:rsidR="003842F8" w:rsidRPr="00610C53">
        <w:rPr>
          <w:lang w:val="en-GB"/>
        </w:rPr>
        <w:t xml:space="preserve">uilding a support network to </w:t>
      </w:r>
      <w:r w:rsidR="00A95BDE" w:rsidRPr="00610C53">
        <w:rPr>
          <w:lang w:val="en-GB"/>
        </w:rPr>
        <w:t>ensure</w:t>
      </w:r>
      <w:r w:rsidR="003842F8" w:rsidRPr="00610C53">
        <w:rPr>
          <w:lang w:val="en-GB"/>
        </w:rPr>
        <w:t xml:space="preserve"> decent living for the elderly.</w:t>
      </w:r>
      <w:r w:rsidR="00A95BDE" w:rsidRPr="00610C53">
        <w:rPr>
          <w:lang w:val="en-GB"/>
        </w:rPr>
        <w:t xml:space="preserve"> </w:t>
      </w:r>
    </w:p>
    <w:p w:rsidR="004F40C2" w:rsidRPr="00610C53" w:rsidRDefault="00A95BDE" w:rsidP="003842F8">
      <w:pPr>
        <w:pStyle w:val="Akapitzlist"/>
        <w:numPr>
          <w:ilvl w:val="1"/>
          <w:numId w:val="4"/>
        </w:numPr>
        <w:jc w:val="both"/>
        <w:rPr>
          <w:lang w:val="en-GB"/>
        </w:rPr>
      </w:pPr>
      <w:r w:rsidRPr="00610C53">
        <w:rPr>
          <w:b/>
          <w:lang w:val="en-GB"/>
        </w:rPr>
        <w:t>Most municipalities take no c</w:t>
      </w:r>
      <w:r w:rsidR="003842F8" w:rsidRPr="00610C53">
        <w:rPr>
          <w:b/>
          <w:lang w:val="en-GB"/>
        </w:rPr>
        <w:t xml:space="preserve">onsistent actions aimed at </w:t>
      </w:r>
      <w:r w:rsidRPr="00610C53">
        <w:rPr>
          <w:b/>
          <w:lang w:val="en-GB"/>
        </w:rPr>
        <w:t>professionalization</w:t>
      </w:r>
      <w:r w:rsidR="003842F8" w:rsidRPr="00610C53">
        <w:rPr>
          <w:b/>
          <w:lang w:val="en-GB"/>
        </w:rPr>
        <w:t xml:space="preserve"> of pe</w:t>
      </w:r>
      <w:r w:rsidRPr="00610C53">
        <w:rPr>
          <w:b/>
          <w:lang w:val="en-GB"/>
        </w:rPr>
        <w:t xml:space="preserve">rsons who </w:t>
      </w:r>
      <w:r w:rsidR="003842F8" w:rsidRPr="00610C53">
        <w:rPr>
          <w:b/>
          <w:lang w:val="en-GB"/>
        </w:rPr>
        <w:t>support</w:t>
      </w:r>
      <w:r w:rsidRPr="00610C53">
        <w:rPr>
          <w:b/>
          <w:lang w:val="en-GB"/>
        </w:rPr>
        <w:t xml:space="preserve"> </w:t>
      </w:r>
      <w:r w:rsidR="003842F8" w:rsidRPr="00610C53">
        <w:rPr>
          <w:b/>
          <w:lang w:val="en-GB"/>
        </w:rPr>
        <w:t>the elderly</w:t>
      </w:r>
      <w:r w:rsidRPr="00610C53">
        <w:rPr>
          <w:b/>
          <w:lang w:val="en-GB"/>
        </w:rPr>
        <w:t xml:space="preserve"> in the form of a job</w:t>
      </w:r>
      <w:r w:rsidRPr="00610C53">
        <w:rPr>
          <w:lang w:val="en-GB"/>
        </w:rPr>
        <w:t>. Such professionalization</w:t>
      </w:r>
      <w:r w:rsidR="003842F8" w:rsidRPr="00610C53">
        <w:rPr>
          <w:lang w:val="en-GB"/>
        </w:rPr>
        <w:t xml:space="preserve"> </w:t>
      </w:r>
      <w:r w:rsidRPr="00610C53">
        <w:rPr>
          <w:lang w:val="en-GB"/>
        </w:rPr>
        <w:t>should also be</w:t>
      </w:r>
      <w:r w:rsidR="003842F8" w:rsidRPr="00610C53">
        <w:rPr>
          <w:lang w:val="en-GB"/>
        </w:rPr>
        <w:t xml:space="preserve"> underst</w:t>
      </w:r>
      <w:r w:rsidRPr="00610C53">
        <w:rPr>
          <w:lang w:val="en-GB"/>
        </w:rPr>
        <w:t xml:space="preserve">ood as </w:t>
      </w:r>
      <w:r w:rsidR="003842F8" w:rsidRPr="00610C53">
        <w:rPr>
          <w:lang w:val="en-GB"/>
        </w:rPr>
        <w:t xml:space="preserve">the improvement of the </w:t>
      </w:r>
      <w:r w:rsidR="00610C53" w:rsidRPr="00610C53">
        <w:rPr>
          <w:lang w:val="en-GB"/>
        </w:rPr>
        <w:t>overall</w:t>
      </w:r>
      <w:r w:rsidR="003842F8" w:rsidRPr="00610C53">
        <w:rPr>
          <w:lang w:val="en-GB"/>
        </w:rPr>
        <w:t xml:space="preserve"> </w:t>
      </w:r>
      <w:r w:rsidR="00610C53" w:rsidRPr="00610C53">
        <w:rPr>
          <w:lang w:val="en-GB"/>
        </w:rPr>
        <w:t xml:space="preserve">system of </w:t>
      </w:r>
      <w:r w:rsidR="003842F8" w:rsidRPr="00610C53">
        <w:rPr>
          <w:lang w:val="en-GB"/>
        </w:rPr>
        <w:t>suppor</w:t>
      </w:r>
      <w:r w:rsidR="00610C53" w:rsidRPr="00610C53">
        <w:rPr>
          <w:lang w:val="en-GB"/>
        </w:rPr>
        <w:t>t</w:t>
      </w:r>
      <w:r w:rsidR="004F40C2" w:rsidRPr="00610C53">
        <w:rPr>
          <w:lang w:val="en-GB"/>
        </w:rPr>
        <w:t>.</w:t>
      </w:r>
      <w:r w:rsidR="00610C53" w:rsidRPr="00610C53">
        <w:rPr>
          <w:lang w:val="en-GB"/>
        </w:rPr>
        <w:t xml:space="preserve"> </w:t>
      </w:r>
    </w:p>
    <w:p w:rsidR="007A462E" w:rsidRPr="00610C53" w:rsidRDefault="00610C53" w:rsidP="004F40C2">
      <w:pPr>
        <w:jc w:val="both"/>
        <w:rPr>
          <w:b/>
          <w:lang w:val="en-GB"/>
        </w:rPr>
      </w:pPr>
      <w:r w:rsidRPr="00610C53">
        <w:rPr>
          <w:rFonts w:cs="Times New Roman"/>
          <w:lang w:val="en-GB"/>
        </w:rPr>
        <w:t xml:space="preserve">The system of support provision to the elderly in the surveyed municipalities is viewed by most respondents as good, but requiring further development. </w:t>
      </w:r>
      <w:r w:rsidRPr="00610C53">
        <w:rPr>
          <w:bCs/>
          <w:lang w:val="en-GB"/>
        </w:rPr>
        <w:t>Yet, not many policymakers notice the need to move away from institutional care in favour of community-based care</w:t>
      </w:r>
      <w:r w:rsidR="008C3FF8" w:rsidRPr="00610C53">
        <w:rPr>
          <w:lang w:val="en-GB"/>
        </w:rPr>
        <w:t xml:space="preserve">. </w:t>
      </w:r>
      <w:r w:rsidR="008C3FF8" w:rsidRPr="00610C53">
        <w:rPr>
          <w:b/>
          <w:lang w:val="en-GB"/>
        </w:rPr>
        <w:t xml:space="preserve">From </w:t>
      </w:r>
      <w:r w:rsidRPr="00610C53">
        <w:rPr>
          <w:b/>
          <w:lang w:val="en-GB"/>
        </w:rPr>
        <w:t>the</w:t>
      </w:r>
      <w:r w:rsidR="008C3FF8" w:rsidRPr="00610C53">
        <w:rPr>
          <w:b/>
          <w:lang w:val="en-GB"/>
        </w:rPr>
        <w:t xml:space="preserve"> human rights perspective, it is essential to strengthen </w:t>
      </w:r>
      <w:r w:rsidRPr="00610C53">
        <w:rPr>
          <w:b/>
          <w:lang w:val="en-GB"/>
        </w:rPr>
        <w:t>the community care system.</w:t>
      </w:r>
    </w:p>
    <w:sectPr w:rsidR="007A462E" w:rsidRPr="00610C53" w:rsidSect="00875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66" w:rsidRDefault="00C13166" w:rsidP="00F77616">
      <w:pPr>
        <w:spacing w:after="0" w:line="240" w:lineRule="auto"/>
      </w:pPr>
      <w:r>
        <w:separator/>
      </w:r>
    </w:p>
  </w:endnote>
  <w:endnote w:type="continuationSeparator" w:id="0">
    <w:p w:rsidR="00C13166" w:rsidRDefault="00C13166" w:rsidP="00F7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1A" w:rsidRDefault="00D377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1A" w:rsidRDefault="00D377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1A" w:rsidRDefault="00D37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66" w:rsidRDefault="00C13166" w:rsidP="00F77616">
      <w:pPr>
        <w:spacing w:after="0" w:line="240" w:lineRule="auto"/>
      </w:pPr>
      <w:r>
        <w:separator/>
      </w:r>
    </w:p>
  </w:footnote>
  <w:footnote w:type="continuationSeparator" w:id="0">
    <w:p w:rsidR="00C13166" w:rsidRDefault="00C13166" w:rsidP="00F7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1A" w:rsidRDefault="00D377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87" w:rsidRPr="00BC73BC" w:rsidRDefault="00681187" w:rsidP="00681187">
    <w:pPr>
      <w:pStyle w:val="Nagwek"/>
      <w:tabs>
        <w:tab w:val="clear" w:pos="4536"/>
        <w:tab w:val="clear" w:pos="9072"/>
        <w:tab w:val="center" w:pos="5670"/>
        <w:tab w:val="left" w:pos="7380"/>
      </w:tabs>
      <w:ind w:right="1692"/>
      <w:jc w:val="right"/>
      <w:rPr>
        <w:rFonts w:cs="Times New Roman"/>
        <w:sz w:val="20"/>
        <w:szCs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B020F" wp14:editId="51CAFB00">
          <wp:simplePos x="0" y="0"/>
          <wp:positionH relativeFrom="column">
            <wp:posOffset>5041265</wp:posOffset>
          </wp:positionH>
          <wp:positionV relativeFrom="paragraph">
            <wp:posOffset>-62865</wp:posOffset>
          </wp:positionV>
          <wp:extent cx="938530" cy="309880"/>
          <wp:effectExtent l="0" t="0" r="0" b="0"/>
          <wp:wrapSquare wrapText="bothSides"/>
          <wp:docPr id="1" name="Obraz 2" descr="logo-pom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pom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73BC">
      <w:rPr>
        <w:rFonts w:cs="Times New Roman"/>
        <w:sz w:val="20"/>
        <w:lang w:val="en-US"/>
      </w:rPr>
      <w:t xml:space="preserve">   </w:t>
    </w:r>
    <w:r w:rsidR="00BC73BC" w:rsidRPr="00BC73BC">
      <w:rPr>
        <w:rFonts w:cs="Times New Roman"/>
        <w:sz w:val="20"/>
        <w:szCs w:val="20"/>
        <w:lang w:val="en-US"/>
      </w:rPr>
      <w:t>Office of the Commissioner for Human Rights</w:t>
    </w:r>
  </w:p>
  <w:p w:rsidR="00681187" w:rsidRPr="00BC73BC" w:rsidRDefault="00681187" w:rsidP="00681187">
    <w:pPr>
      <w:pStyle w:val="Nagwek"/>
      <w:jc w:val="center"/>
      <w:rPr>
        <w:sz w:val="20"/>
        <w:szCs w:val="20"/>
      </w:rPr>
    </w:pPr>
    <w:r w:rsidRPr="00BC73BC">
      <w:rPr>
        <w:rFonts w:cs="Times New Roman"/>
        <w:sz w:val="20"/>
        <w:lang w:val="en-US"/>
      </w:rPr>
      <w:t xml:space="preserve">                         </w:t>
    </w:r>
    <w:r w:rsidR="00442EB8">
      <w:rPr>
        <w:rFonts w:cs="Times New Roman"/>
        <w:sz w:val="20"/>
        <w:lang w:val="en-US"/>
      </w:rPr>
      <w:t xml:space="preserve">                </w:t>
    </w:r>
    <w:r w:rsidRPr="00BC73BC">
      <w:rPr>
        <w:rFonts w:cs="Times New Roman"/>
        <w:sz w:val="20"/>
        <w:lang w:val="en-US"/>
      </w:rPr>
      <w:t xml:space="preserve">                                   </w:t>
    </w:r>
    <w:r w:rsidR="00BC73BC" w:rsidRPr="00BC73BC">
      <w:rPr>
        <w:rFonts w:cs="Times New Roman"/>
        <w:sz w:val="20"/>
        <w:szCs w:val="20"/>
        <w:lang w:val="en-US"/>
      </w:rPr>
      <w:t>Equal Treatment Team</w:t>
    </w:r>
  </w:p>
  <w:p w:rsidR="00681187" w:rsidRDefault="006811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1A" w:rsidRDefault="00D377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E2F"/>
    <w:multiLevelType w:val="hybridMultilevel"/>
    <w:tmpl w:val="B4A6F19A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387F7F"/>
    <w:multiLevelType w:val="hybridMultilevel"/>
    <w:tmpl w:val="3928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77D9"/>
    <w:multiLevelType w:val="hybridMultilevel"/>
    <w:tmpl w:val="2430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77B97"/>
    <w:multiLevelType w:val="hybridMultilevel"/>
    <w:tmpl w:val="4C06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43589"/>
    <w:multiLevelType w:val="hybridMultilevel"/>
    <w:tmpl w:val="F20A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B3AB0"/>
    <w:multiLevelType w:val="hybridMultilevel"/>
    <w:tmpl w:val="E170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4C"/>
    <w:rsid w:val="00002D32"/>
    <w:rsid w:val="00027DDE"/>
    <w:rsid w:val="00091AA4"/>
    <w:rsid w:val="000F4BAD"/>
    <w:rsid w:val="0010072F"/>
    <w:rsid w:val="00151A18"/>
    <w:rsid w:val="00152970"/>
    <w:rsid w:val="00162F92"/>
    <w:rsid w:val="001D687A"/>
    <w:rsid w:val="001E024C"/>
    <w:rsid w:val="001F312D"/>
    <w:rsid w:val="00201045"/>
    <w:rsid w:val="002634FB"/>
    <w:rsid w:val="002700A5"/>
    <w:rsid w:val="00283F89"/>
    <w:rsid w:val="00295B29"/>
    <w:rsid w:val="00296619"/>
    <w:rsid w:val="002D4A5B"/>
    <w:rsid w:val="002D66F0"/>
    <w:rsid w:val="002E1BA0"/>
    <w:rsid w:val="002E4B49"/>
    <w:rsid w:val="002F4EE8"/>
    <w:rsid w:val="00326EC3"/>
    <w:rsid w:val="003677F3"/>
    <w:rsid w:val="00383F07"/>
    <w:rsid w:val="003842F8"/>
    <w:rsid w:val="003A2B3A"/>
    <w:rsid w:val="003B095D"/>
    <w:rsid w:val="003C5937"/>
    <w:rsid w:val="003D068A"/>
    <w:rsid w:val="0041731B"/>
    <w:rsid w:val="00442EB8"/>
    <w:rsid w:val="0044340D"/>
    <w:rsid w:val="00453122"/>
    <w:rsid w:val="00462D0B"/>
    <w:rsid w:val="00473BEE"/>
    <w:rsid w:val="004E2CD4"/>
    <w:rsid w:val="004F40C2"/>
    <w:rsid w:val="0050066F"/>
    <w:rsid w:val="00512341"/>
    <w:rsid w:val="00556C9B"/>
    <w:rsid w:val="00557047"/>
    <w:rsid w:val="005A0D41"/>
    <w:rsid w:val="005C3DED"/>
    <w:rsid w:val="005D057D"/>
    <w:rsid w:val="005F71A2"/>
    <w:rsid w:val="00610C53"/>
    <w:rsid w:val="0062476A"/>
    <w:rsid w:val="00635CCE"/>
    <w:rsid w:val="00650680"/>
    <w:rsid w:val="006534CA"/>
    <w:rsid w:val="00681187"/>
    <w:rsid w:val="006C2BA0"/>
    <w:rsid w:val="006E1EF6"/>
    <w:rsid w:val="006E5A94"/>
    <w:rsid w:val="006F6B6D"/>
    <w:rsid w:val="007127A9"/>
    <w:rsid w:val="007768F4"/>
    <w:rsid w:val="00781B7C"/>
    <w:rsid w:val="007927E6"/>
    <w:rsid w:val="007A35C8"/>
    <w:rsid w:val="007A462E"/>
    <w:rsid w:val="007F1FB4"/>
    <w:rsid w:val="0083504C"/>
    <w:rsid w:val="00854BBA"/>
    <w:rsid w:val="00865EF0"/>
    <w:rsid w:val="00875B6C"/>
    <w:rsid w:val="008B4F44"/>
    <w:rsid w:val="008C3FF8"/>
    <w:rsid w:val="00957B5F"/>
    <w:rsid w:val="009764DB"/>
    <w:rsid w:val="00987453"/>
    <w:rsid w:val="009B4889"/>
    <w:rsid w:val="009C5C6A"/>
    <w:rsid w:val="009D2F4B"/>
    <w:rsid w:val="009D721C"/>
    <w:rsid w:val="009E3D2B"/>
    <w:rsid w:val="00A6038C"/>
    <w:rsid w:val="00A71179"/>
    <w:rsid w:val="00A85566"/>
    <w:rsid w:val="00A95BDE"/>
    <w:rsid w:val="00AB1A20"/>
    <w:rsid w:val="00AB5966"/>
    <w:rsid w:val="00AF0D3A"/>
    <w:rsid w:val="00B0660A"/>
    <w:rsid w:val="00B60E8A"/>
    <w:rsid w:val="00B87032"/>
    <w:rsid w:val="00B93E92"/>
    <w:rsid w:val="00BA48AE"/>
    <w:rsid w:val="00BA6FBE"/>
    <w:rsid w:val="00BB0610"/>
    <w:rsid w:val="00BC73BC"/>
    <w:rsid w:val="00BE4CBD"/>
    <w:rsid w:val="00BF527D"/>
    <w:rsid w:val="00C006C0"/>
    <w:rsid w:val="00C13166"/>
    <w:rsid w:val="00C54BAA"/>
    <w:rsid w:val="00C60532"/>
    <w:rsid w:val="00C81464"/>
    <w:rsid w:val="00CA281A"/>
    <w:rsid w:val="00CB01EC"/>
    <w:rsid w:val="00CC4060"/>
    <w:rsid w:val="00CE3310"/>
    <w:rsid w:val="00D23CDC"/>
    <w:rsid w:val="00D25953"/>
    <w:rsid w:val="00D3415A"/>
    <w:rsid w:val="00D3771A"/>
    <w:rsid w:val="00DB66BA"/>
    <w:rsid w:val="00E160C4"/>
    <w:rsid w:val="00E30B17"/>
    <w:rsid w:val="00E75C94"/>
    <w:rsid w:val="00E820CE"/>
    <w:rsid w:val="00E9677D"/>
    <w:rsid w:val="00EB4A12"/>
    <w:rsid w:val="00ED7547"/>
    <w:rsid w:val="00EF20FD"/>
    <w:rsid w:val="00F17B67"/>
    <w:rsid w:val="00F32356"/>
    <w:rsid w:val="00F35E3D"/>
    <w:rsid w:val="00F37DE4"/>
    <w:rsid w:val="00F64475"/>
    <w:rsid w:val="00F767B9"/>
    <w:rsid w:val="00F77616"/>
    <w:rsid w:val="00FA24EB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6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6B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F6B6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7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761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6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6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616"/>
    <w:rPr>
      <w:vertAlign w:val="superscript"/>
    </w:rPr>
  </w:style>
  <w:style w:type="paragraph" w:styleId="Nagwek">
    <w:name w:val="header"/>
    <w:basedOn w:val="Normalny"/>
    <w:link w:val="NagwekZnak"/>
    <w:unhideWhenUsed/>
    <w:rsid w:val="0068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1187"/>
  </w:style>
  <w:style w:type="paragraph" w:styleId="Stopka">
    <w:name w:val="footer"/>
    <w:basedOn w:val="Normalny"/>
    <w:link w:val="StopkaZnak"/>
    <w:uiPriority w:val="99"/>
    <w:unhideWhenUsed/>
    <w:rsid w:val="0068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87"/>
  </w:style>
  <w:style w:type="paragraph" w:styleId="Tekstdymka">
    <w:name w:val="Balloon Text"/>
    <w:basedOn w:val="Normalny"/>
    <w:link w:val="TekstdymkaZnak"/>
    <w:uiPriority w:val="99"/>
    <w:semiHidden/>
    <w:unhideWhenUsed/>
    <w:rsid w:val="0068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C59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65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5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65EF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C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6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6B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F6B6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7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761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6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6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616"/>
    <w:rPr>
      <w:vertAlign w:val="superscript"/>
    </w:rPr>
  </w:style>
  <w:style w:type="paragraph" w:styleId="Nagwek">
    <w:name w:val="header"/>
    <w:basedOn w:val="Normalny"/>
    <w:link w:val="NagwekZnak"/>
    <w:unhideWhenUsed/>
    <w:rsid w:val="0068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1187"/>
  </w:style>
  <w:style w:type="paragraph" w:styleId="Stopka">
    <w:name w:val="footer"/>
    <w:basedOn w:val="Normalny"/>
    <w:link w:val="StopkaZnak"/>
    <w:uiPriority w:val="99"/>
    <w:unhideWhenUsed/>
    <w:rsid w:val="0068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87"/>
  </w:style>
  <w:style w:type="paragraph" w:styleId="Tekstdymka">
    <w:name w:val="Balloon Text"/>
    <w:basedOn w:val="Normalny"/>
    <w:link w:val="TekstdymkaZnak"/>
    <w:uiPriority w:val="99"/>
    <w:semiHidden/>
    <w:unhideWhenUsed/>
    <w:rsid w:val="0068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C59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65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5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65EF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AFE6-4AB7-4C94-BA21-B73E5259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2017-05-18T08:16:00Z</dcterms:created>
  <dcterms:modified xsi:type="dcterms:W3CDTF">2017-05-18T08:16:00Z</dcterms:modified>
</cp:coreProperties>
</file>